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C50A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黑体" w:eastAsia="黑体"/>
          <w:b/>
          <w:sz w:val="48"/>
          <w:szCs w:val="48"/>
          <w:highlight w:val="none"/>
        </w:rPr>
      </w:pPr>
      <w:bookmarkStart w:id="0" w:name="_Toc27712"/>
      <w:bookmarkStart w:id="1" w:name="_Hlk104273075"/>
      <w:r>
        <w:rPr>
          <w:rFonts w:hint="eastAsia" w:ascii="黑体" w:eastAsia="黑体"/>
          <w:b/>
          <w:sz w:val="48"/>
          <w:szCs w:val="48"/>
          <w:highlight w:val="none"/>
        </w:rPr>
        <w:t>陕西丰汇韵嘉会计师事务所</w:t>
      </w:r>
      <w:bookmarkEnd w:id="0"/>
    </w:p>
    <w:p w14:paraId="6D9F31D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b/>
          <w:sz w:val="48"/>
          <w:szCs w:val="48"/>
          <w:highlight w:val="none"/>
        </w:rPr>
      </w:pPr>
      <w:bookmarkStart w:id="2" w:name="_Toc25952"/>
      <w:r>
        <w:rPr>
          <w:rFonts w:hint="eastAsia" w:ascii="黑体" w:eastAsia="黑体"/>
          <w:b/>
          <w:sz w:val="48"/>
          <w:szCs w:val="48"/>
          <w:highlight w:val="none"/>
        </w:rPr>
        <w:t>合伙企业（普通合伙）</w:t>
      </w:r>
      <w:bookmarkEnd w:id="2"/>
    </w:p>
    <w:bookmarkEnd w:id="1"/>
    <w:p w14:paraId="6071FA16">
      <w:pPr>
        <w:keepNext w:val="0"/>
        <w:keepLines w:val="0"/>
        <w:pageBreakBefore w:val="0"/>
        <w:widowControl w:val="0"/>
        <w:pBdr>
          <w:bottom w:val="single" w:color="auto" w:sz="6" w:space="1"/>
        </w:pBdr>
        <w:kinsoku/>
        <w:wordWrap/>
        <w:overflowPunct/>
        <w:topLinePunct w:val="0"/>
        <w:autoSpaceDE/>
        <w:autoSpaceDN/>
        <w:bidi w:val="0"/>
        <w:adjustRightInd/>
        <w:snapToGrid/>
        <w:jc w:val="center"/>
        <w:textAlignment w:val="auto"/>
        <w:outlineLvl w:val="9"/>
        <w:rPr>
          <w:rFonts w:hint="eastAsia" w:ascii="宋体" w:hAnsi="宋体"/>
          <w:b/>
          <w:highlight w:val="none"/>
        </w:rPr>
      </w:pPr>
    </w:p>
    <w:p w14:paraId="4A41200D">
      <w:pPr>
        <w:keepNext w:val="0"/>
        <w:keepLines w:val="0"/>
        <w:pageBreakBefore w:val="0"/>
        <w:widowControl w:val="0"/>
        <w:pBdr>
          <w:bottom w:val="single" w:color="auto" w:sz="6" w:space="1"/>
        </w:pBdr>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陕西丰汇</w:t>
      </w:r>
      <w:r>
        <w:rPr>
          <w:rFonts w:hint="eastAsia" w:ascii="仿宋" w:hAnsi="仿宋" w:eastAsia="仿宋" w:cs="仿宋"/>
          <w:b/>
          <w:sz w:val="32"/>
          <w:szCs w:val="32"/>
          <w:highlight w:val="none"/>
          <w:lang w:val="en-US" w:eastAsia="zh-CN"/>
        </w:rPr>
        <w:t>咨</w:t>
      </w:r>
      <w:r>
        <w:rPr>
          <w:rFonts w:hint="eastAsia" w:ascii="仿宋" w:hAnsi="仿宋" w:eastAsia="仿宋" w:cs="仿宋"/>
          <w:b/>
          <w:sz w:val="32"/>
          <w:szCs w:val="32"/>
          <w:highlight w:val="none"/>
        </w:rPr>
        <w:t>字〔2024〕第</w:t>
      </w:r>
      <w:r>
        <w:rPr>
          <w:rFonts w:hint="eastAsia" w:ascii="仿宋" w:hAnsi="仿宋" w:eastAsia="仿宋" w:cs="仿宋"/>
          <w:b/>
          <w:sz w:val="32"/>
          <w:szCs w:val="32"/>
          <w:highlight w:val="none"/>
          <w:lang w:val="en-US" w:eastAsia="zh-CN"/>
        </w:rPr>
        <w:t>147</w:t>
      </w:r>
      <w:r>
        <w:rPr>
          <w:rFonts w:hint="eastAsia" w:ascii="仿宋" w:hAnsi="仿宋" w:eastAsia="仿宋" w:cs="仿宋"/>
          <w:b/>
          <w:sz w:val="32"/>
          <w:szCs w:val="32"/>
          <w:highlight w:val="none"/>
        </w:rPr>
        <w:t>号</w:t>
      </w:r>
    </w:p>
    <w:p w14:paraId="26103691">
      <w:pPr>
        <w:keepNext w:val="0"/>
        <w:keepLines w:val="0"/>
        <w:pageBreakBefore w:val="0"/>
        <w:widowControl w:val="0"/>
        <w:tabs>
          <w:tab w:val="left" w:pos="0"/>
        </w:tabs>
        <w:kinsoku/>
        <w:wordWrap/>
        <w:overflowPunct/>
        <w:topLinePunct w:val="0"/>
        <w:autoSpaceDE/>
        <w:autoSpaceDN/>
        <w:bidi w:val="0"/>
        <w:adjustRightInd/>
        <w:snapToGrid/>
        <w:spacing w:line="360" w:lineRule="auto"/>
        <w:jc w:val="center"/>
        <w:textAlignment w:val="auto"/>
        <w:outlineLvl w:val="9"/>
        <w:rPr>
          <w:rFonts w:hint="eastAsia" w:ascii="黑体" w:eastAsia="黑体"/>
          <w:b/>
          <w:sz w:val="32"/>
          <w:szCs w:val="32"/>
          <w:highlight w:val="none"/>
        </w:rPr>
      </w:pPr>
    </w:p>
    <w:p w14:paraId="6B2DE000">
      <w:pPr>
        <w:keepNext w:val="0"/>
        <w:keepLines w:val="0"/>
        <w:pageBreakBefore w:val="0"/>
        <w:widowControl w:val="0"/>
        <w:tabs>
          <w:tab w:val="left" w:pos="0"/>
        </w:tabs>
        <w:kinsoku/>
        <w:wordWrap/>
        <w:overflowPunct/>
        <w:topLinePunct w:val="0"/>
        <w:autoSpaceDE/>
        <w:autoSpaceDN/>
        <w:bidi w:val="0"/>
        <w:adjustRightInd/>
        <w:snapToGrid/>
        <w:spacing w:line="360" w:lineRule="auto"/>
        <w:jc w:val="center"/>
        <w:textAlignment w:val="auto"/>
        <w:outlineLvl w:val="9"/>
        <w:rPr>
          <w:rFonts w:hint="eastAsia" w:ascii="黑体" w:eastAsia="黑体"/>
          <w:b/>
          <w:sz w:val="32"/>
          <w:szCs w:val="32"/>
          <w:highlight w:val="none"/>
        </w:rPr>
      </w:pPr>
    </w:p>
    <w:p w14:paraId="5295A026">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z w:val="36"/>
          <w:szCs w:val="36"/>
          <w:highlight w:val="none"/>
          <w:lang w:val="en-US" w:eastAsia="zh-CN" w:bidi="ar"/>
        </w:rPr>
      </w:pPr>
      <w:r>
        <w:rPr>
          <w:rFonts w:hint="eastAsia" w:ascii="仿宋" w:hAnsi="仿宋" w:eastAsia="仿宋" w:cs="仿宋"/>
          <w:b/>
          <w:bCs/>
          <w:sz w:val="36"/>
          <w:szCs w:val="36"/>
          <w:highlight w:val="none"/>
          <w:lang w:val="en-US" w:eastAsia="zh-CN" w:bidi="ar"/>
        </w:rPr>
        <w:t>林芝市应急管理局</w:t>
      </w:r>
    </w:p>
    <w:p w14:paraId="55BBB1D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z w:val="36"/>
          <w:szCs w:val="36"/>
          <w:highlight w:val="none"/>
          <w:lang w:bidi="ar"/>
        </w:rPr>
      </w:pPr>
      <w:r>
        <w:rPr>
          <w:rFonts w:hint="eastAsia" w:ascii="仿宋" w:hAnsi="仿宋" w:eastAsia="仿宋" w:cs="仿宋"/>
          <w:b/>
          <w:bCs/>
          <w:sz w:val="36"/>
          <w:szCs w:val="36"/>
          <w:highlight w:val="none"/>
          <w:lang w:bidi="ar"/>
        </w:rPr>
        <w:t>2023年度部门整体支出绩效评价报告</w:t>
      </w:r>
    </w:p>
    <w:p w14:paraId="3C1FCD1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spacing w:val="85"/>
          <w:sz w:val="28"/>
          <w:szCs w:val="28"/>
          <w:highlight w:val="none"/>
        </w:rPr>
      </w:pPr>
      <w:r>
        <w:rPr>
          <w:rFonts w:hint="eastAsia" w:ascii="宋体" w:hAnsi="宋体" w:cs="宋体"/>
          <w:b/>
          <w:bCs/>
          <w:spacing w:val="85"/>
          <w:sz w:val="28"/>
          <w:szCs w:val="28"/>
          <w:highlight w:val="none"/>
          <w:lang w:bidi="ar"/>
        </w:rPr>
        <w:t xml:space="preserve"> </w:t>
      </w:r>
    </w:p>
    <w:p w14:paraId="3CD9EFA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spacing w:val="85"/>
          <w:sz w:val="24"/>
          <w:highlight w:val="none"/>
        </w:rPr>
      </w:pPr>
      <w:r>
        <w:rPr>
          <w:rFonts w:hint="eastAsia" w:ascii="宋体" w:hAnsi="宋体" w:cs="宋体"/>
          <w:spacing w:val="85"/>
          <w:sz w:val="24"/>
          <w:highlight w:val="none"/>
          <w:lang w:bidi="ar"/>
        </w:rPr>
        <w:t xml:space="preserve"> </w:t>
      </w:r>
    </w:p>
    <w:p w14:paraId="348D0781">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207A06A4">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6C32952F">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宋体" w:hAnsi="宋体" w:cs="宋体"/>
          <w:sz w:val="24"/>
          <w:highlight w:val="none"/>
          <w:lang w:val="en-US" w:eastAsia="zh-CN" w:bidi="ar"/>
        </w:rPr>
      </w:pPr>
    </w:p>
    <w:p w14:paraId="6073964F">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539B6FC5">
      <w:pPr>
        <w:keepNext w:val="0"/>
        <w:keepLines w:val="0"/>
        <w:pageBreakBefore w:val="0"/>
        <w:widowControl w:val="0"/>
        <w:kinsoku/>
        <w:wordWrap/>
        <w:overflowPunct/>
        <w:topLinePunct w:val="0"/>
        <w:autoSpaceDE/>
        <w:autoSpaceDN/>
        <w:bidi w:val="0"/>
        <w:adjustRightInd/>
        <w:snapToGrid/>
        <w:ind w:firstLine="1200" w:firstLineChars="500"/>
        <w:jc w:val="left"/>
        <w:textAlignment w:val="auto"/>
        <w:outlineLvl w:val="9"/>
        <w:rPr>
          <w:rFonts w:hint="eastAsia" w:ascii="宋体" w:hAnsi="宋体" w:cs="宋体"/>
          <w:sz w:val="24"/>
          <w:highlight w:val="none"/>
          <w:lang w:val="en-US" w:eastAsia="zh-CN" w:bidi="ar"/>
        </w:rPr>
      </w:pPr>
      <w:r>
        <w:rPr>
          <w:rFonts w:hint="eastAsia" w:ascii="宋体" w:hAnsi="宋体" w:cs="宋体"/>
          <w:sz w:val="24"/>
          <w:highlight w:val="none"/>
          <w:lang w:val="en-US" w:eastAsia="zh-CN" w:bidi="ar"/>
        </w:rPr>
        <w:t>委托单位</w:t>
      </w:r>
      <w:r>
        <w:rPr>
          <w:rFonts w:hint="eastAsia" w:ascii="宋体" w:hAnsi="宋体" w:cs="宋体"/>
          <w:sz w:val="24"/>
          <w:highlight w:val="none"/>
          <w:lang w:bidi="ar"/>
        </w:rPr>
        <w:t>：林芝市</w:t>
      </w:r>
      <w:r>
        <w:rPr>
          <w:rFonts w:hint="eastAsia" w:ascii="宋体" w:hAnsi="宋体" w:cs="宋体"/>
          <w:sz w:val="24"/>
          <w:highlight w:val="none"/>
          <w:lang w:val="en-US" w:eastAsia="zh-CN" w:bidi="ar"/>
        </w:rPr>
        <w:t>财政局</w:t>
      </w:r>
    </w:p>
    <w:p w14:paraId="7ECEA815">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19A6CD8A">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4943CA2C">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0E32DE1A">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val="en-US" w:eastAsia="zh-CN" w:bidi="ar"/>
        </w:rPr>
      </w:pPr>
    </w:p>
    <w:p w14:paraId="006B8EBC">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60E6FF43">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r>
        <w:rPr>
          <w:rFonts w:hint="eastAsia" w:ascii="宋体" w:hAnsi="宋体" w:cs="宋体"/>
          <w:sz w:val="24"/>
          <w:highlight w:val="none"/>
          <w:lang w:val="en-US" w:eastAsia="zh-CN" w:bidi="ar"/>
        </w:rPr>
        <w:t xml:space="preserve">         </w:t>
      </w:r>
      <w:r>
        <w:rPr>
          <w:rFonts w:hint="eastAsia" w:ascii="宋体" w:hAnsi="宋体" w:cs="宋体"/>
          <w:sz w:val="24"/>
          <w:highlight w:val="none"/>
          <w:lang w:bidi="ar"/>
        </w:rPr>
        <w:t>评价机构：陕西丰汇韵嘉会计师事务所合伙企业（普通合伙）</w:t>
      </w:r>
    </w:p>
    <w:p w14:paraId="4344E0C2">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4"/>
          <w:highlight w:val="none"/>
          <w:lang w:bidi="ar"/>
        </w:rPr>
      </w:pPr>
      <w:r>
        <w:rPr>
          <w:rFonts w:hint="eastAsia" w:ascii="宋体" w:hAnsi="宋体" w:cs="宋体"/>
          <w:sz w:val="24"/>
          <w:highlight w:val="none"/>
          <w:lang w:bidi="ar"/>
        </w:rPr>
        <w:t xml:space="preserve"> </w:t>
      </w:r>
    </w:p>
    <w:p w14:paraId="47304FE1">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Calibri" w:eastAsia="仿宋_GB2312" w:cs="仿宋_GB2312"/>
          <w:sz w:val="32"/>
          <w:szCs w:val="32"/>
          <w:highlight w:val="none"/>
          <w:lang w:bidi="ar"/>
        </w:rPr>
      </w:pPr>
      <w:r>
        <w:rPr>
          <w:rFonts w:ascii="仿宋_GB2312" w:hAnsi="Calibri" w:eastAsia="仿宋_GB2312" w:cs="仿宋_GB2312"/>
          <w:sz w:val="32"/>
          <w:szCs w:val="32"/>
          <w:highlight w:val="none"/>
          <w:lang w:bidi="ar"/>
        </w:rPr>
        <w:t xml:space="preserve"> </w:t>
      </w:r>
    </w:p>
    <w:p w14:paraId="496B45E6">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_GB2312" w:hAnsi="Calibri" w:eastAsia="仿宋_GB2312" w:cs="仿宋_GB2312"/>
          <w:sz w:val="32"/>
          <w:szCs w:val="32"/>
          <w:highlight w:val="none"/>
          <w:lang w:bidi="ar"/>
        </w:rPr>
      </w:pPr>
    </w:p>
    <w:p w14:paraId="2C31890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
        </w:rPr>
        <w:t xml:space="preserve">               </w:t>
      </w:r>
      <w:r>
        <w:rPr>
          <w:rFonts w:hint="eastAsia" w:ascii="宋体" w:hAnsi="宋体" w:cs="宋体"/>
          <w:sz w:val="24"/>
          <w:szCs w:val="24"/>
          <w:highlight w:val="none"/>
          <w:lang w:val="en-US" w:eastAsia="zh-CN" w:bidi="ar"/>
        </w:rPr>
        <w:t xml:space="preserve">          </w:t>
      </w:r>
      <w:r>
        <w:rPr>
          <w:rFonts w:hint="eastAsia" w:ascii="宋体" w:hAnsi="宋体" w:eastAsia="宋体" w:cs="宋体"/>
          <w:sz w:val="24"/>
          <w:szCs w:val="24"/>
          <w:highlight w:val="none"/>
          <w:lang w:val="en-US" w:eastAsia="zh-CN" w:bidi="ar"/>
        </w:rPr>
        <w:t xml:space="preserve"> </w:t>
      </w:r>
      <w:r>
        <w:rPr>
          <w:rFonts w:hint="eastAsia" w:ascii="宋体" w:hAnsi="宋体" w:cs="宋体"/>
          <w:sz w:val="24"/>
          <w:szCs w:val="24"/>
          <w:highlight w:val="none"/>
          <w:lang w:val="en-US" w:eastAsia="zh-CN" w:bidi="ar"/>
        </w:rPr>
        <w:t xml:space="preserve">   </w:t>
      </w:r>
      <w:r>
        <w:rPr>
          <w:rFonts w:hint="eastAsia" w:ascii="宋体" w:hAnsi="宋体" w:eastAsia="宋体" w:cs="宋体"/>
          <w:sz w:val="24"/>
          <w:szCs w:val="24"/>
          <w:highlight w:val="none"/>
          <w:lang w:val="en-US" w:eastAsia="zh-CN" w:bidi="ar"/>
        </w:rPr>
        <w:t xml:space="preserve"> </w:t>
      </w:r>
      <w:r>
        <w:rPr>
          <w:rFonts w:hint="eastAsia" w:ascii="宋体" w:hAnsi="宋体" w:eastAsia="宋体" w:cs="宋体"/>
          <w:sz w:val="24"/>
          <w:szCs w:val="24"/>
          <w:highlight w:val="none"/>
          <w:lang w:bidi="ar"/>
        </w:rPr>
        <w:t>2024年</w:t>
      </w:r>
      <w:r>
        <w:rPr>
          <w:rFonts w:hint="eastAsia" w:ascii="宋体" w:hAnsi="宋体" w:cs="宋体"/>
          <w:sz w:val="24"/>
          <w:szCs w:val="24"/>
          <w:highlight w:val="none"/>
          <w:lang w:val="en-US" w:eastAsia="zh-CN" w:bidi="ar"/>
        </w:rPr>
        <w:t>7月26</w:t>
      </w:r>
      <w:r>
        <w:rPr>
          <w:rFonts w:hint="eastAsia" w:ascii="宋体" w:hAnsi="宋体" w:eastAsia="宋体" w:cs="宋体"/>
          <w:sz w:val="24"/>
          <w:szCs w:val="24"/>
          <w:highlight w:val="none"/>
          <w:lang w:bidi="ar"/>
        </w:rPr>
        <w:t>日</w:t>
      </w:r>
    </w:p>
    <w:p w14:paraId="5F0E8CF5">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cs="宋体"/>
          <w:b/>
          <w:bCs/>
          <w:sz w:val="28"/>
          <w:szCs w:val="28"/>
          <w:highlight w:val="none"/>
        </w:rPr>
      </w:pPr>
      <w:r>
        <w:rPr>
          <w:rFonts w:hint="eastAsia" w:ascii="宋体" w:hAnsi="宋体" w:cs="宋体"/>
          <w:b/>
          <w:bCs/>
          <w:sz w:val="28"/>
          <w:szCs w:val="28"/>
          <w:highlight w:val="none"/>
          <w:lang w:bidi="ar"/>
        </w:rPr>
        <w:t xml:space="preserve">  </w:t>
      </w:r>
    </w:p>
    <w:p w14:paraId="42F4F2E9">
      <w:pPr>
        <w:rPr>
          <w:rFonts w:ascii="Calibri" w:hAnsi="Calibri"/>
          <w:szCs w:val="21"/>
          <w:highlight w:val="none"/>
        </w:rPr>
      </w:pPr>
      <w:r>
        <w:rPr>
          <w:rFonts w:ascii="Calibri" w:hAnsi="Calibri"/>
          <w:szCs w:val="21"/>
          <w:highlight w:val="none"/>
          <w:lang w:bidi="ar"/>
        </w:rPr>
        <w:t xml:space="preserve"> </w:t>
      </w:r>
    </w:p>
    <w:p w14:paraId="3185B398">
      <w:pPr>
        <w:rPr>
          <w:rFonts w:ascii="Calibri" w:hAnsi="Calibri"/>
          <w:szCs w:val="21"/>
          <w:highlight w:val="none"/>
        </w:rPr>
      </w:pPr>
      <w:r>
        <w:rPr>
          <w:rFonts w:ascii="Calibri" w:hAnsi="Calibri"/>
          <w:szCs w:val="21"/>
          <w:highlight w:val="none"/>
          <w:lang w:bidi="ar"/>
        </w:rPr>
        <w:t xml:space="preserve"> </w:t>
      </w:r>
    </w:p>
    <w:p w14:paraId="0EBA2520">
      <w:pPr>
        <w:rPr>
          <w:rFonts w:hint="eastAsia" w:ascii="微软雅黑" w:hAnsi="微软雅黑" w:eastAsia="微软雅黑" w:cs="微软雅黑"/>
          <w:color w:val="000000"/>
          <w:sz w:val="27"/>
          <w:szCs w:val="27"/>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0172D22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目录</w:t>
      </w:r>
    </w:p>
    <w:p w14:paraId="5E9B131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rPr>
      </w:pPr>
    </w:p>
    <w:p w14:paraId="3E05B5B3">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_Toc11892 </w:instrText>
      </w:r>
      <w:r>
        <w:rPr>
          <w:rFonts w:hint="eastAsia" w:ascii="仿宋" w:hAnsi="仿宋" w:eastAsia="仿宋" w:cs="仿宋"/>
          <w:sz w:val="24"/>
          <w:szCs w:val="24"/>
        </w:rPr>
        <w:fldChar w:fldCharType="separate"/>
      </w:r>
      <w:r>
        <w:rPr>
          <w:rFonts w:hint="eastAsia" w:ascii="仿宋" w:hAnsi="仿宋" w:eastAsia="仿宋" w:cs="仿宋"/>
          <w:bCs/>
          <w:sz w:val="24"/>
          <w:szCs w:val="24"/>
        </w:rPr>
        <w:t xml:space="preserve">一、 </w:t>
      </w:r>
      <w:r>
        <w:rPr>
          <w:rFonts w:hint="eastAsia" w:ascii="仿宋" w:hAnsi="仿宋" w:eastAsia="仿宋" w:cs="仿宋"/>
          <w:bCs/>
          <w:sz w:val="24"/>
          <w:szCs w:val="24"/>
          <w:highlight w:val="none"/>
          <w:lang w:bidi="ar"/>
        </w:rPr>
        <w:t>部门基本情况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_Toc11892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AF77617">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_Toc20711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（一）部门主要职能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_Toc20711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18D60F5">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_Toc22027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（二）机构设置情况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_Toc22027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686716C">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_Toc29013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（三）人员编制情况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_Toc29013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2B99F06">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_Toc3783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（四）年度总体工作和重点工作任务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_Toc3783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91BDDBB">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_Toc23088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（五）部门预算批复及整体支出安排情况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_Toc23088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7B90DB">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_Toc30634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二、绩效评价工作开展情况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_Toc30634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3DC7DF1">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_Toc8011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（一）绩效评价目的、对象和范围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_Toc8011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47BDC4F">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_Toc27310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val="en"/>
        </w:rPr>
        <w:t>（</w:t>
      </w:r>
      <w:r>
        <w:rPr>
          <w:rFonts w:hint="eastAsia" w:ascii="仿宋" w:hAnsi="仿宋" w:eastAsia="仿宋" w:cs="仿宋"/>
          <w:bCs/>
          <w:sz w:val="24"/>
          <w:szCs w:val="24"/>
          <w:highlight w:val="none"/>
        </w:rPr>
        <w:t>二）</w:t>
      </w:r>
      <w:r>
        <w:rPr>
          <w:rFonts w:hint="eastAsia" w:ascii="仿宋" w:hAnsi="仿宋" w:eastAsia="仿宋" w:cs="仿宋"/>
          <w:bCs/>
          <w:sz w:val="24"/>
          <w:szCs w:val="24"/>
          <w:highlight w:val="none"/>
          <w:lang w:val="en-US" w:eastAsia="zh-CN"/>
        </w:rPr>
        <w:t>评价依据、</w:t>
      </w:r>
      <w:r>
        <w:rPr>
          <w:rFonts w:hint="eastAsia" w:ascii="仿宋" w:hAnsi="仿宋" w:eastAsia="仿宋" w:cs="仿宋"/>
          <w:bCs/>
          <w:sz w:val="24"/>
          <w:szCs w:val="24"/>
          <w:highlight w:val="none"/>
          <w:lang w:val="en"/>
        </w:rPr>
        <w:t>绩效评价原则、评价方法、评价标准、评价指标体系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_Toc27310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C1BF42E">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_Toc14946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（三）绩效评价工作过程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_Toc14946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8DC7F83">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_Toc2976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三、综合评价情况及评价结论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_Toc2976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C5A7FB2">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_Toc5384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四、绩效评价指标分析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_Toc5384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AC9562">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_Toc1753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（一）项目投入情况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_Toc1753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616460D">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_Toc14077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（二）项目过程情况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_Toc14077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3F75FB1">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_Toc18106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（三）项目产出情况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_Toc18106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20B5AF3">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_Toc25653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（四）部门效益情况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_Toc25653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125C583">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_Toc24090 </w:instrText>
      </w:r>
      <w:r>
        <w:rPr>
          <w:rFonts w:hint="eastAsia" w:ascii="仿宋" w:hAnsi="仿宋" w:eastAsia="仿宋" w:cs="仿宋"/>
          <w:sz w:val="24"/>
          <w:szCs w:val="24"/>
        </w:rPr>
        <w:fldChar w:fldCharType="separate"/>
      </w:r>
      <w:r>
        <w:rPr>
          <w:rFonts w:hint="eastAsia" w:ascii="仿宋" w:hAnsi="仿宋" w:eastAsia="仿宋" w:cs="仿宋"/>
          <w:kern w:val="0"/>
          <w:sz w:val="24"/>
          <w:szCs w:val="24"/>
          <w:lang w:val="en-US" w:eastAsia="zh-CN" w:bidi="ar"/>
        </w:rPr>
        <w:t xml:space="preserve">五、 </w:t>
      </w:r>
      <w:r>
        <w:rPr>
          <w:rFonts w:hint="eastAsia" w:ascii="仿宋" w:hAnsi="仿宋" w:eastAsia="仿宋" w:cs="仿宋"/>
          <w:sz w:val="24"/>
          <w:szCs w:val="24"/>
          <w:highlight w:val="none"/>
        </w:rPr>
        <w:t>主要问题分析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_Toc24090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798CFAC">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_Toc4121 </w:instrText>
      </w:r>
      <w:r>
        <w:rPr>
          <w:rFonts w:hint="eastAsia" w:ascii="仿宋" w:hAnsi="仿宋" w:eastAsia="仿宋" w:cs="仿宋"/>
          <w:sz w:val="24"/>
          <w:szCs w:val="24"/>
        </w:rPr>
        <w:fldChar w:fldCharType="separate"/>
      </w:r>
      <w:r>
        <w:rPr>
          <w:rFonts w:hint="eastAsia" w:ascii="仿宋" w:hAnsi="仿宋" w:eastAsia="仿宋" w:cs="仿宋"/>
          <w:kern w:val="0"/>
          <w:sz w:val="24"/>
          <w:szCs w:val="24"/>
          <w:highlight w:val="none"/>
          <w:lang w:val="en-US" w:eastAsia="zh-CN" w:bidi="ar"/>
        </w:rPr>
        <w:t>（一）人员编制方面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_Toc4121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7B06DE9">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_Toc5891 </w:instrText>
      </w:r>
      <w:r>
        <w:rPr>
          <w:rFonts w:hint="eastAsia" w:ascii="仿宋" w:hAnsi="仿宋" w:eastAsia="仿宋" w:cs="仿宋"/>
          <w:sz w:val="24"/>
          <w:szCs w:val="24"/>
        </w:rPr>
        <w:fldChar w:fldCharType="separate"/>
      </w:r>
      <w:r>
        <w:rPr>
          <w:rFonts w:hint="eastAsia" w:ascii="仿宋" w:hAnsi="仿宋" w:eastAsia="仿宋" w:cs="仿宋"/>
          <w:kern w:val="0"/>
          <w:sz w:val="24"/>
          <w:szCs w:val="24"/>
          <w:highlight w:val="none"/>
          <w:lang w:val="en-US" w:eastAsia="zh-CN" w:bidi="ar"/>
        </w:rPr>
        <w:t>（二）预算管理方面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_Toc5891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2EC49AE">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_Toc30662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六、 </w:t>
      </w:r>
      <w:r>
        <w:rPr>
          <w:rFonts w:hint="eastAsia" w:ascii="仿宋" w:hAnsi="仿宋" w:eastAsia="仿宋" w:cs="仿宋"/>
          <w:sz w:val="24"/>
          <w:szCs w:val="24"/>
          <w:highlight w:val="none"/>
        </w:rPr>
        <w:t>相关建议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_Toc30662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727579A">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_Toc20589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bidi="ar"/>
        </w:rPr>
        <w:t xml:space="preserve">（一） </w:t>
      </w:r>
      <w:r>
        <w:rPr>
          <w:rFonts w:hint="eastAsia" w:ascii="仿宋" w:hAnsi="仿宋" w:eastAsia="仿宋" w:cs="仿宋"/>
          <w:sz w:val="24"/>
          <w:szCs w:val="24"/>
          <w:highlight w:val="none"/>
          <w:lang w:val="en-US" w:eastAsia="zh-CN" w:bidi="ar"/>
        </w:rPr>
        <w:t>人员编制方面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_Toc20589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A066320">
      <w:pPr>
        <w:pStyle w:val="8"/>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_Toc856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bidi="ar"/>
        </w:rPr>
        <w:t xml:space="preserve">（二） </w:t>
      </w:r>
      <w:r>
        <w:rPr>
          <w:rFonts w:hint="eastAsia" w:ascii="仿宋" w:hAnsi="仿宋" w:eastAsia="仿宋" w:cs="仿宋"/>
          <w:sz w:val="24"/>
          <w:szCs w:val="24"/>
          <w:highlight w:val="none"/>
          <w:lang w:val="en-US" w:eastAsia="zh-CN" w:bidi="ar"/>
        </w:rPr>
        <w:t>预算管理方面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_Toc856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C827D1C">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_Toc27365 </w:instrText>
      </w:r>
      <w:r>
        <w:rPr>
          <w:rFonts w:hint="eastAsia" w:ascii="仿宋" w:hAnsi="仿宋" w:eastAsia="仿宋" w:cs="仿宋"/>
          <w:sz w:val="24"/>
          <w:szCs w:val="24"/>
        </w:rPr>
        <w:fldChar w:fldCharType="separate"/>
      </w:r>
      <w:r>
        <w:rPr>
          <w:rFonts w:hint="eastAsia" w:ascii="仿宋" w:hAnsi="仿宋" w:eastAsia="仿宋" w:cs="仿宋"/>
          <w:bCs/>
          <w:sz w:val="24"/>
          <w:szCs w:val="24"/>
        </w:rPr>
        <w:t xml:space="preserve">七、 </w:t>
      </w:r>
      <w:r>
        <w:rPr>
          <w:rFonts w:hint="eastAsia" w:ascii="仿宋" w:hAnsi="仿宋" w:eastAsia="仿宋" w:cs="仿宋"/>
          <w:bCs/>
          <w:sz w:val="24"/>
          <w:szCs w:val="24"/>
          <w:highlight w:val="none"/>
          <w:lang w:val="en-US" w:eastAsia="zh-CN"/>
        </w:rPr>
        <w:t>其他需要说明的问题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_Toc27365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237DD72">
      <w:pPr>
        <w:pStyle w:val="7"/>
        <w:keepNext w:val="0"/>
        <w:keepLines w:val="0"/>
        <w:pageBreakBefore w:val="0"/>
        <w:widowControl w:val="0"/>
        <w:tabs>
          <w:tab w:val="right" w:leader="middleDot" w:pos="8852"/>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_Toc20103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bidi="ar"/>
        </w:rPr>
        <w:t>附件：</w:t>
      </w:r>
      <w:r>
        <w:rPr>
          <w:rFonts w:hint="eastAsia" w:ascii="仿宋" w:hAnsi="仿宋" w:eastAsia="仿宋" w:cs="仿宋"/>
          <w:bCs/>
          <w:kern w:val="2"/>
          <w:sz w:val="24"/>
          <w:szCs w:val="24"/>
          <w:highlight w:val="none"/>
          <w:lang w:bidi="ar"/>
        </w:rPr>
        <w:t>绩效评价指标体系框架打分表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_Toc20103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F8AC84">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rPr>
        <w:fldChar w:fldCharType="end"/>
      </w:r>
    </w:p>
    <w:p w14:paraId="197B8664">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微软雅黑" w:hAnsi="微软雅黑" w:eastAsia="微软雅黑" w:cs="微软雅黑"/>
          <w:b w:val="0"/>
          <w:bCs w:val="0"/>
          <w:color w:val="000000"/>
          <w:sz w:val="27"/>
          <w:szCs w:val="27"/>
          <w:highlight w:val="none"/>
          <w:lang w:val="en-US" w:bidi="ar"/>
        </w:rPr>
      </w:pPr>
    </w:p>
    <w:p w14:paraId="459BDA7A">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微软雅黑" w:hAnsi="微软雅黑" w:eastAsia="微软雅黑" w:cs="微软雅黑"/>
          <w:b w:val="0"/>
          <w:bCs w:val="0"/>
          <w:color w:val="000000"/>
          <w:sz w:val="27"/>
          <w:szCs w:val="27"/>
          <w:highlight w:val="none"/>
          <w:lang w:val="en-US" w:bidi="ar"/>
        </w:rPr>
        <w:sectPr>
          <w:footerReference r:id="rId4" w:type="default"/>
          <w:pgSz w:w="11906" w:h="16838"/>
          <w:pgMar w:top="1496" w:right="1416" w:bottom="1105" w:left="1638" w:header="170" w:footer="454" w:gutter="0"/>
          <w:pgBorders>
            <w:top w:val="none" w:sz="0" w:space="0"/>
            <w:left w:val="none" w:sz="0" w:space="0"/>
            <w:bottom w:val="none" w:sz="0" w:space="0"/>
            <w:right w:val="none" w:sz="0" w:space="0"/>
          </w:pgBorders>
          <w:pgNumType w:fmt="decimal" w:start="1"/>
          <w:cols w:space="720" w:num="1"/>
          <w:docGrid w:type="lines" w:linePitch="328" w:charSpace="0"/>
        </w:sectPr>
      </w:pPr>
    </w:p>
    <w:p w14:paraId="56BF226C">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仿宋" w:hAnsi="仿宋" w:eastAsia="仿宋" w:cs="仿宋"/>
          <w:b/>
          <w:bCs/>
          <w:sz w:val="32"/>
          <w:szCs w:val="32"/>
          <w:highlight w:val="none"/>
          <w:lang w:val="en-US" w:eastAsia="zh-CN" w:bidi="ar"/>
        </w:rPr>
      </w:pPr>
      <w:r>
        <w:rPr>
          <w:rFonts w:hint="eastAsia" w:ascii="仿宋" w:hAnsi="仿宋" w:eastAsia="仿宋" w:cs="仿宋"/>
          <w:b/>
          <w:bCs/>
          <w:color w:val="000000"/>
          <w:sz w:val="32"/>
          <w:szCs w:val="32"/>
          <w:highlight w:val="none"/>
          <w:lang w:val="en-US" w:bidi="ar"/>
        </w:rPr>
        <w:t>林芝市</w:t>
      </w:r>
      <w:r>
        <w:rPr>
          <w:rFonts w:hint="eastAsia" w:ascii="仿宋" w:hAnsi="仿宋" w:eastAsia="仿宋" w:cs="仿宋"/>
          <w:b/>
          <w:bCs/>
          <w:color w:val="000000"/>
          <w:sz w:val="32"/>
          <w:szCs w:val="32"/>
          <w:highlight w:val="none"/>
          <w:lang w:val="en-US" w:eastAsia="zh-CN" w:bidi="ar"/>
        </w:rPr>
        <w:t>应急管理局</w:t>
      </w:r>
    </w:p>
    <w:p w14:paraId="6171DF94">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jc w:val="center"/>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2023年度</w:t>
      </w:r>
      <w:bookmarkStart w:id="3" w:name="_Toc29384"/>
      <w:r>
        <w:rPr>
          <w:rFonts w:hint="eastAsia" w:ascii="仿宋" w:hAnsi="仿宋" w:eastAsia="仿宋" w:cs="仿宋"/>
          <w:b/>
          <w:bCs/>
          <w:sz w:val="32"/>
          <w:szCs w:val="32"/>
          <w:highlight w:val="none"/>
          <w:lang w:bidi="ar"/>
        </w:rPr>
        <w:t>部门整体绩效评价报告</w:t>
      </w:r>
      <w:bookmarkEnd w:id="3"/>
    </w:p>
    <w:p w14:paraId="120FB3E7">
      <w:pPr>
        <w:keepNext w:val="0"/>
        <w:keepLines w:val="0"/>
        <w:pageBreakBefore w:val="0"/>
        <w:widowControl w:val="0"/>
        <w:kinsoku/>
        <w:wordWrap/>
        <w:overflowPunct/>
        <w:topLinePunct w:val="0"/>
        <w:autoSpaceDE/>
        <w:autoSpaceDN/>
        <w:bidi w:val="0"/>
        <w:adjustRightInd/>
        <w:snapToGrid/>
        <w:spacing w:before="165" w:beforeLines="50" w:beforeAutospacing="0" w:after="165" w:afterLines="50" w:afterAutospacing="0" w:line="360" w:lineRule="auto"/>
        <w:ind w:firstLine="0" w:firstLineChars="0"/>
        <w:jc w:val="left"/>
        <w:textAlignment w:val="auto"/>
        <w:outlineLvl w:val="9"/>
        <w:rPr>
          <w:rFonts w:hint="eastAsia" w:ascii="仿宋" w:hAnsi="仿宋" w:eastAsia="仿宋" w:cs="仿宋"/>
          <w:b w:val="0"/>
          <w:bCs w:val="0"/>
          <w:color w:val="000000"/>
          <w:sz w:val="32"/>
          <w:szCs w:val="32"/>
          <w:highlight w:val="none"/>
          <w:lang w:val="en-US"/>
        </w:rPr>
      </w:pPr>
      <w:bookmarkStart w:id="4" w:name="_Toc16748"/>
      <w:r>
        <w:rPr>
          <w:rFonts w:hint="eastAsia" w:ascii="仿宋" w:hAnsi="仿宋" w:eastAsia="仿宋" w:cs="仿宋"/>
          <w:b w:val="0"/>
          <w:bCs w:val="0"/>
          <w:color w:val="000000"/>
          <w:sz w:val="32"/>
          <w:szCs w:val="32"/>
          <w:highlight w:val="none"/>
          <w:lang w:val="en-US"/>
        </w:rPr>
        <w:t>林芝市财政局</w:t>
      </w:r>
      <w:r>
        <w:rPr>
          <w:rFonts w:hint="eastAsia" w:ascii="仿宋" w:hAnsi="仿宋" w:eastAsia="仿宋" w:cs="仿宋"/>
          <w:b w:val="0"/>
          <w:bCs w:val="0"/>
          <w:color w:val="000000"/>
          <w:sz w:val="32"/>
          <w:szCs w:val="32"/>
          <w:highlight w:val="none"/>
          <w:lang w:val="en-US" w:eastAsia="zh-CN"/>
        </w:rPr>
        <w:t>：</w:t>
      </w:r>
      <w:bookmarkEnd w:id="4"/>
    </w:p>
    <w:p w14:paraId="332EAE8F">
      <w:pPr>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jc w:val="left"/>
        <w:textAlignment w:val="auto"/>
        <w:outlineLvl w:val="9"/>
        <w:rPr>
          <w:rFonts w:hint="eastAsia" w:ascii="仿宋" w:hAnsi="仿宋" w:eastAsia="仿宋" w:cs="仿宋"/>
          <w:sz w:val="32"/>
          <w:szCs w:val="32"/>
          <w:highlight w:val="none"/>
          <w:lang w:bidi="ar"/>
        </w:rPr>
      </w:pPr>
      <w:bookmarkStart w:id="5" w:name="_Toc3418"/>
      <w:r>
        <w:rPr>
          <w:rFonts w:hint="eastAsia" w:ascii="仿宋" w:hAnsi="仿宋" w:eastAsia="仿宋" w:cs="仿宋"/>
          <w:b w:val="0"/>
          <w:bCs w:val="0"/>
          <w:color w:val="000000"/>
          <w:sz w:val="32"/>
          <w:szCs w:val="32"/>
          <w:highlight w:val="none"/>
          <w:lang w:val="en-US"/>
        </w:rPr>
        <w:t>我们接受贵单位委托，对林芝市</w:t>
      </w:r>
      <w:r>
        <w:rPr>
          <w:rFonts w:hint="eastAsia" w:ascii="仿宋" w:hAnsi="仿宋" w:eastAsia="仿宋" w:cs="仿宋"/>
          <w:b w:val="0"/>
          <w:bCs w:val="0"/>
          <w:color w:val="000000"/>
          <w:sz w:val="32"/>
          <w:szCs w:val="32"/>
          <w:highlight w:val="none"/>
          <w:lang w:val="en-US" w:eastAsia="zh-CN"/>
        </w:rPr>
        <w:t>应急管理局</w:t>
      </w:r>
      <w:r>
        <w:rPr>
          <w:rFonts w:hint="eastAsia" w:ascii="仿宋" w:hAnsi="仿宋" w:eastAsia="仿宋" w:cs="仿宋"/>
          <w:b w:val="0"/>
          <w:bCs w:val="0"/>
          <w:i w:val="0"/>
          <w:iCs w:val="0"/>
          <w:caps w:val="0"/>
          <w:color w:val="000000"/>
          <w:spacing w:val="0"/>
          <w:kern w:val="0"/>
          <w:sz w:val="32"/>
          <w:szCs w:val="32"/>
        </w:rPr>
        <w:t>(以下简称:“</w:t>
      </w:r>
      <w:r>
        <w:rPr>
          <w:rFonts w:hint="eastAsia" w:ascii="仿宋" w:hAnsi="仿宋" w:eastAsia="仿宋" w:cs="仿宋"/>
          <w:b w:val="0"/>
          <w:bCs w:val="0"/>
          <w:i w:val="0"/>
          <w:iCs w:val="0"/>
          <w:caps w:val="0"/>
          <w:color w:val="000000"/>
          <w:spacing w:val="0"/>
          <w:kern w:val="0"/>
          <w:sz w:val="32"/>
          <w:szCs w:val="32"/>
          <w:lang w:val="en-US" w:eastAsia="zh-CN"/>
        </w:rPr>
        <w:t>市应急管理局</w:t>
      </w:r>
      <w:r>
        <w:rPr>
          <w:rFonts w:hint="eastAsia" w:ascii="仿宋" w:hAnsi="仿宋" w:eastAsia="仿宋" w:cs="仿宋"/>
          <w:b w:val="0"/>
          <w:bCs w:val="0"/>
          <w:i w:val="0"/>
          <w:iCs w:val="0"/>
          <w:caps w:val="0"/>
          <w:color w:val="000000"/>
          <w:spacing w:val="0"/>
          <w:kern w:val="0"/>
          <w:sz w:val="32"/>
          <w:szCs w:val="32"/>
        </w:rPr>
        <w:t>”)</w:t>
      </w:r>
      <w:r>
        <w:rPr>
          <w:rFonts w:hint="eastAsia" w:ascii="仿宋" w:hAnsi="仿宋" w:eastAsia="仿宋" w:cs="仿宋"/>
          <w:b w:val="0"/>
          <w:bCs w:val="0"/>
          <w:color w:val="000000"/>
          <w:sz w:val="32"/>
          <w:szCs w:val="32"/>
          <w:highlight w:val="none"/>
          <w:lang w:val="en-US"/>
        </w:rPr>
        <w:t>202</w:t>
      </w:r>
      <w:r>
        <w:rPr>
          <w:rFonts w:hint="eastAsia" w:ascii="仿宋" w:hAnsi="仿宋" w:eastAsia="仿宋" w:cs="仿宋"/>
          <w:b w:val="0"/>
          <w:bCs w:val="0"/>
          <w:color w:val="000000"/>
          <w:sz w:val="32"/>
          <w:szCs w:val="32"/>
          <w:highlight w:val="none"/>
          <w:lang w:val="en-US" w:eastAsia="zh-CN"/>
        </w:rPr>
        <w:t>3</w:t>
      </w:r>
      <w:r>
        <w:rPr>
          <w:rFonts w:hint="eastAsia" w:ascii="仿宋" w:hAnsi="仿宋" w:eastAsia="仿宋" w:cs="仿宋"/>
          <w:b w:val="0"/>
          <w:bCs w:val="0"/>
          <w:color w:val="000000"/>
          <w:sz w:val="32"/>
          <w:szCs w:val="32"/>
          <w:highlight w:val="none"/>
          <w:lang w:val="en-US"/>
        </w:rPr>
        <w:t>年1月1日</w:t>
      </w:r>
      <w:r>
        <w:rPr>
          <w:rFonts w:hint="eastAsia" w:ascii="仿宋" w:hAnsi="仿宋" w:eastAsia="仿宋" w:cs="仿宋"/>
          <w:b w:val="0"/>
          <w:bCs w:val="0"/>
          <w:color w:val="000000"/>
          <w:sz w:val="32"/>
          <w:szCs w:val="32"/>
          <w:highlight w:val="none"/>
          <w:lang w:val="en-US" w:eastAsia="zh-CN"/>
        </w:rPr>
        <w:t>至</w:t>
      </w:r>
      <w:r>
        <w:rPr>
          <w:rFonts w:hint="eastAsia" w:ascii="仿宋" w:hAnsi="仿宋" w:eastAsia="仿宋" w:cs="仿宋"/>
          <w:b w:val="0"/>
          <w:bCs w:val="0"/>
          <w:color w:val="000000"/>
          <w:sz w:val="32"/>
          <w:szCs w:val="32"/>
          <w:highlight w:val="none"/>
          <w:lang w:val="en-US"/>
        </w:rPr>
        <w:t>202</w:t>
      </w:r>
      <w:r>
        <w:rPr>
          <w:rFonts w:hint="eastAsia" w:ascii="仿宋" w:hAnsi="仿宋" w:eastAsia="仿宋" w:cs="仿宋"/>
          <w:b w:val="0"/>
          <w:bCs w:val="0"/>
          <w:color w:val="000000"/>
          <w:sz w:val="32"/>
          <w:szCs w:val="32"/>
          <w:highlight w:val="none"/>
          <w:lang w:val="en-US" w:eastAsia="zh-CN"/>
        </w:rPr>
        <w:t>3</w:t>
      </w:r>
      <w:r>
        <w:rPr>
          <w:rFonts w:hint="eastAsia" w:ascii="仿宋" w:hAnsi="仿宋" w:eastAsia="仿宋" w:cs="仿宋"/>
          <w:b w:val="0"/>
          <w:bCs w:val="0"/>
          <w:color w:val="000000"/>
          <w:sz w:val="32"/>
          <w:szCs w:val="32"/>
          <w:highlight w:val="none"/>
          <w:lang w:val="en-US"/>
        </w:rPr>
        <w:t>年12月31日本级财政预算资金整体支出进行绩效评价，</w:t>
      </w:r>
      <w:r>
        <w:rPr>
          <w:rFonts w:hint="eastAsia" w:ascii="仿宋" w:hAnsi="仿宋" w:eastAsia="仿宋" w:cs="仿宋"/>
          <w:b w:val="0"/>
          <w:bCs w:val="0"/>
          <w:i w:val="0"/>
          <w:iCs w:val="0"/>
          <w:caps w:val="0"/>
          <w:color w:val="000000"/>
          <w:spacing w:val="0"/>
          <w:kern w:val="0"/>
          <w:sz w:val="32"/>
          <w:szCs w:val="32"/>
          <w:lang w:val="en-US" w:eastAsia="zh-CN"/>
        </w:rPr>
        <w:t>市应急管理局</w:t>
      </w:r>
      <w:r>
        <w:rPr>
          <w:rFonts w:hint="eastAsia" w:ascii="仿宋" w:hAnsi="仿宋" w:eastAsia="仿宋" w:cs="仿宋"/>
          <w:b w:val="0"/>
          <w:bCs w:val="0"/>
          <w:color w:val="000000"/>
          <w:sz w:val="32"/>
          <w:szCs w:val="32"/>
          <w:highlight w:val="none"/>
          <w:lang w:val="en-US"/>
        </w:rPr>
        <w:t>对建立健全内部内控制度、提供的会计资料和相关材料证明文件的完整性、真实性、合法性承担责任。依据《中共西自治区委员会西藏自治区人民政府关于全面实施预算绩效管理的实施意见》</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藏党发</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2020</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7号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、财政部《财政支出绩效评价管理暂行办法》</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财预</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2011〕285号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以及《林芝市财政局关于开展 2023 年度部门整体支出、项目支出、财政政策绩效评价工作通知》</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林财预〔202</w:t>
      </w:r>
      <w:r>
        <w:rPr>
          <w:rFonts w:hint="eastAsia" w:ascii="仿宋" w:hAnsi="仿宋" w:eastAsia="仿宋" w:cs="仿宋"/>
          <w:b w:val="0"/>
          <w:bCs w:val="0"/>
          <w:color w:val="000000"/>
          <w:sz w:val="32"/>
          <w:szCs w:val="32"/>
          <w:highlight w:val="none"/>
          <w:lang w:val="en-US" w:eastAsia="zh-CN"/>
        </w:rPr>
        <w:t>4</w:t>
      </w:r>
      <w:r>
        <w:rPr>
          <w:rFonts w:hint="eastAsia" w:ascii="仿宋" w:hAnsi="仿宋" w:eastAsia="仿宋" w:cs="仿宋"/>
          <w:b w:val="0"/>
          <w:bCs w:val="0"/>
          <w:color w:val="000000"/>
          <w:sz w:val="32"/>
          <w:szCs w:val="32"/>
          <w:highlight w:val="none"/>
          <w:lang w:val="en-US"/>
        </w:rPr>
        <w:t>〕</w:t>
      </w:r>
      <w:r>
        <w:rPr>
          <w:rFonts w:hint="eastAsia" w:ascii="仿宋" w:hAnsi="仿宋" w:eastAsia="仿宋" w:cs="仿宋"/>
          <w:b w:val="0"/>
          <w:bCs w:val="0"/>
          <w:color w:val="000000"/>
          <w:sz w:val="32"/>
          <w:szCs w:val="32"/>
          <w:highlight w:val="none"/>
          <w:lang w:val="en-US" w:eastAsia="zh-CN"/>
        </w:rPr>
        <w:t>11</w:t>
      </w:r>
      <w:r>
        <w:rPr>
          <w:rFonts w:hint="eastAsia" w:ascii="仿宋" w:hAnsi="仿宋" w:eastAsia="仿宋" w:cs="仿宋"/>
          <w:b w:val="0"/>
          <w:bCs w:val="0"/>
          <w:color w:val="000000"/>
          <w:sz w:val="32"/>
          <w:szCs w:val="32"/>
          <w:highlight w:val="none"/>
          <w:lang w:val="en-US"/>
        </w:rPr>
        <w:t>号</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lang w:val="en-US"/>
        </w:rPr>
        <w:t>相关要求，结合</w:t>
      </w:r>
      <w:r>
        <w:rPr>
          <w:rFonts w:hint="eastAsia" w:ascii="仿宋" w:hAnsi="仿宋" w:eastAsia="仿宋" w:cs="仿宋"/>
          <w:b w:val="0"/>
          <w:bCs w:val="0"/>
          <w:i w:val="0"/>
          <w:iCs w:val="0"/>
          <w:caps w:val="0"/>
          <w:color w:val="000000"/>
          <w:spacing w:val="0"/>
          <w:kern w:val="0"/>
          <w:sz w:val="32"/>
          <w:szCs w:val="32"/>
          <w:lang w:val="en-US" w:eastAsia="zh-CN"/>
        </w:rPr>
        <w:t>市应急管理局</w:t>
      </w:r>
      <w:r>
        <w:rPr>
          <w:rFonts w:hint="eastAsia" w:ascii="仿宋" w:hAnsi="仿宋" w:eastAsia="仿宋" w:cs="仿宋"/>
          <w:b w:val="0"/>
          <w:bCs w:val="0"/>
          <w:color w:val="000000"/>
          <w:sz w:val="32"/>
          <w:szCs w:val="32"/>
          <w:highlight w:val="none"/>
          <w:lang w:val="en-US"/>
        </w:rPr>
        <w:t>的实际情况，我们实施了查阅资料、实地察看、社会调查、检查、询问、计算、分析性复核等评价程序，现将有关情况报告如下</w:t>
      </w:r>
      <w:r>
        <w:rPr>
          <w:rFonts w:hint="eastAsia" w:ascii="仿宋" w:hAnsi="仿宋" w:eastAsia="仿宋" w:cs="仿宋"/>
          <w:b w:val="0"/>
          <w:bCs w:val="0"/>
          <w:color w:val="000000"/>
          <w:sz w:val="32"/>
          <w:szCs w:val="32"/>
          <w:highlight w:val="none"/>
          <w:lang w:val="en-US" w:eastAsia="zh-CN"/>
        </w:rPr>
        <w:t>：</w:t>
      </w:r>
      <w:bookmarkEnd w:id="5"/>
    </w:p>
    <w:p w14:paraId="2962316F">
      <w:pPr>
        <w:pStyle w:val="9"/>
        <w:keepNext w:val="0"/>
        <w:keepLines w:val="0"/>
        <w:pageBreakBefore w:val="0"/>
        <w:numPr>
          <w:ilvl w:val="0"/>
          <w:numId w:val="1"/>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outlineLvl w:val="0"/>
        <w:rPr>
          <w:rFonts w:hint="eastAsia" w:ascii="仿宋" w:hAnsi="仿宋" w:eastAsia="仿宋" w:cs="仿宋"/>
          <w:b/>
          <w:bCs/>
          <w:sz w:val="32"/>
          <w:szCs w:val="32"/>
          <w:highlight w:val="none"/>
        </w:rPr>
      </w:pPr>
      <w:bookmarkStart w:id="6" w:name="_Toc11892"/>
      <w:r>
        <w:rPr>
          <w:rFonts w:hint="eastAsia" w:ascii="仿宋" w:hAnsi="仿宋" w:eastAsia="仿宋" w:cs="仿宋"/>
          <w:b/>
          <w:bCs/>
          <w:sz w:val="32"/>
          <w:szCs w:val="32"/>
          <w:highlight w:val="none"/>
          <w:lang w:bidi="ar"/>
        </w:rPr>
        <w:t>部门基本情况</w:t>
      </w:r>
      <w:bookmarkEnd w:id="6"/>
    </w:p>
    <w:p w14:paraId="3D0C4C37">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482"/>
        <w:textAlignment w:val="auto"/>
        <w:outlineLvl w:val="1"/>
        <w:rPr>
          <w:rFonts w:hint="eastAsia" w:ascii="仿宋" w:hAnsi="仿宋" w:eastAsia="仿宋" w:cs="仿宋"/>
          <w:b/>
          <w:bCs/>
          <w:sz w:val="32"/>
          <w:szCs w:val="32"/>
          <w:highlight w:val="none"/>
        </w:rPr>
      </w:pPr>
      <w:bookmarkStart w:id="7" w:name="_Toc20711"/>
      <w:r>
        <w:rPr>
          <w:rFonts w:hint="eastAsia" w:ascii="仿宋" w:hAnsi="仿宋" w:eastAsia="仿宋" w:cs="仿宋"/>
          <w:b/>
          <w:bCs/>
          <w:sz w:val="32"/>
          <w:szCs w:val="32"/>
          <w:highlight w:val="none"/>
        </w:rPr>
        <w:t>（一）部门主要职能</w:t>
      </w:r>
      <w:bookmarkEnd w:id="7"/>
    </w:p>
    <w:p w14:paraId="00FA4574">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color w:val="000000"/>
          <w:sz w:val="32"/>
          <w:szCs w:val="32"/>
          <w:highlight w:val="none"/>
          <w:lang w:val="en-US"/>
        </w:rPr>
        <w:t>林芝市</w:t>
      </w:r>
      <w:r>
        <w:rPr>
          <w:rFonts w:hint="eastAsia" w:ascii="仿宋" w:hAnsi="仿宋" w:eastAsia="仿宋" w:cs="仿宋"/>
          <w:b w:val="0"/>
          <w:bCs w:val="0"/>
          <w:i w:val="0"/>
          <w:iCs w:val="0"/>
          <w:caps w:val="0"/>
          <w:color w:val="000000"/>
          <w:spacing w:val="0"/>
          <w:kern w:val="0"/>
          <w:sz w:val="32"/>
          <w:szCs w:val="32"/>
          <w:lang w:val="en-US" w:eastAsia="zh-CN"/>
        </w:rPr>
        <w:t>应急管理局</w:t>
      </w:r>
      <w:r>
        <w:rPr>
          <w:rFonts w:hint="eastAsia" w:ascii="仿宋" w:hAnsi="仿宋" w:eastAsia="仿宋" w:cs="仿宋"/>
          <w:b w:val="0"/>
          <w:bCs w:val="0"/>
          <w:i w:val="0"/>
          <w:iCs w:val="0"/>
          <w:caps w:val="0"/>
          <w:color w:val="000000"/>
          <w:spacing w:val="0"/>
          <w:kern w:val="0"/>
          <w:sz w:val="32"/>
          <w:szCs w:val="32"/>
          <w:highlight w:val="none"/>
          <w:lang w:val="en-US" w:eastAsia="zh-CN"/>
        </w:rPr>
        <w:t>是市人民政府工作部门，为正县级。主要职能是:</w:t>
      </w:r>
    </w:p>
    <w:p w14:paraId="4E4D16D5">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bookmarkStart w:id="8" w:name="_Toc31453"/>
      <w:r>
        <w:rPr>
          <w:rFonts w:hint="eastAsia" w:ascii="仿宋" w:hAnsi="仿宋" w:eastAsia="仿宋" w:cs="仿宋"/>
          <w:b w:val="0"/>
          <w:bCs w:val="0"/>
          <w:i w:val="0"/>
          <w:iCs w:val="0"/>
          <w:caps w:val="0"/>
          <w:color w:val="000000"/>
          <w:spacing w:val="0"/>
          <w:kern w:val="0"/>
          <w:sz w:val="32"/>
          <w:szCs w:val="32"/>
          <w:highlight w:val="none"/>
          <w:lang w:val="en-US" w:eastAsia="zh-CN"/>
        </w:rPr>
        <w:t>（1）</w:t>
      </w:r>
      <w:bookmarkEnd w:id="8"/>
      <w:r>
        <w:rPr>
          <w:rFonts w:hint="eastAsia" w:ascii="仿宋" w:hAnsi="仿宋" w:eastAsia="仿宋" w:cs="仿宋"/>
          <w:b w:val="0"/>
          <w:bCs w:val="0"/>
          <w:i w:val="0"/>
          <w:iCs w:val="0"/>
          <w:caps w:val="0"/>
          <w:color w:val="000000"/>
          <w:spacing w:val="0"/>
          <w:kern w:val="0"/>
          <w:sz w:val="32"/>
          <w:szCs w:val="32"/>
          <w:highlight w:val="none"/>
          <w:lang w:val="en-US" w:eastAsia="zh-CN"/>
        </w:rPr>
        <w:t>负责应急管理工作，指导各县(区)、各部门应对安全生产类、自然灾害类等突发事件和综合防灾减灾救灾工作。负责安全生产综合监督管理和工矿商贸行业安全生产监督管理工作。</w:t>
      </w:r>
    </w:p>
    <w:p w14:paraId="4FF02BE9">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（2）拟订应急管理、安全生产政策，组织编制市应急体系建设、安全生产和综合防灾减灾规划，起草相关地方性法规和政府规章草案，组织制定有关规程和标准并监督实施。</w:t>
      </w:r>
    </w:p>
    <w:p w14:paraId="7D50EB20">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（3）指导应急预案体系建设，执行事故灾难和自然灾害分级应对制度，组织编制市总体应急预案和安全生产类、自然灾害类专项预案，综合协调应急预案衔接工作，组织开展预案演练，推动应急避难设施建设。</w:t>
      </w:r>
    </w:p>
    <w:p w14:paraId="4C8D0FBB">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（4）牵头建立统一的应急管理信息系统，负责信息传输渠道的规划和布局，建立监测预警和灾情报告制度，健全自然灾害信息资源获取和共享机制，依法统一发布灾情。</w:t>
      </w:r>
    </w:p>
    <w:p w14:paraId="594B5516">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5）组织指导协调安全生产类、自然灾害类等突发事件应急救援，承担市应对重大灾害指挥部工作，建立重大灾害和突发事件的报告制度，综合研判突发事件发展态势并提出应对建议，协助市委、政府指定的负责同志组织重大灾害应急处置工作。</w:t>
      </w:r>
    </w:p>
    <w:p w14:paraId="7ED5CCDF">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（6）统一协调指挥各类应急专业队伍，建立应急协调联动机制，推进指挥平台对接，衔接解放军和武警部队参与应急救援工作。</w:t>
      </w:r>
    </w:p>
    <w:p w14:paraId="0C73714E">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（7）统筹应急救援力量建设，负责消防、森林和草原火灾扑救、抗洪抢险、地震和地质灾害救援、生产安全事故救援等专业应急救援力量建设，管理综合性应急救援队伍，指导县(区)及社会应急救援力量建设。</w:t>
      </w:r>
    </w:p>
    <w:p w14:paraId="6477FDFB">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（8）负责消防工作，指导县(区)消防监督、火灾预防、火灾扑救等工作。</w:t>
      </w:r>
    </w:p>
    <w:p w14:paraId="6DB589D7">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（9）指导协调森林和草原火灾、水旱灾害、地震和地质灾害等防治工作，负责自然灾害综合监测预警工作，指导开展自然灾害综合风险评估工作。</w:t>
      </w:r>
    </w:p>
    <w:p w14:paraId="75FCDAE0">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（10）组织协调灾害救助工作，组织指导开展灾情核查、损失评估、救灾捐赠工作，管理、分配救灾款物并监督使用。</w:t>
      </w:r>
    </w:p>
    <w:p w14:paraId="28AAB83F">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（11）依法行使市安全生产综合监督管理职权，指导协调、监督检查各县(区)、各部门安全生产工作，组织开展安全生产巡查、考核工作。</w:t>
      </w:r>
    </w:p>
    <w:p w14:paraId="3526BD15">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12）按照分级、属地原则，依法监督检查工矿商贸生产经营单位贯彻执行安全生产法律法规情况及其安全生产条件和有关设备(特种设备除外)、材料、劳动防护用品的安全生产管理工作。负责监督管理工矿商贸行业企业安全生产工作。依法组织并指导监督实施安全生产准入制度。负责危险化学品安全监督管理综合工作和烟花爆竹安全生产监督管理工作。</w:t>
      </w:r>
    </w:p>
    <w:p w14:paraId="3E62DC7E">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（13）依法组织指导生产安全事故调查处理，监督事故查处和责任追究落实情况。组织开展自然灾害类突发事件的调查评估工作。</w:t>
      </w:r>
    </w:p>
    <w:p w14:paraId="07DEBFC2">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（14）开展应急管理方面的对外交流与合作，组织参与安全生产类、自然灾害类等突发事件的市外救援工作。</w:t>
      </w:r>
    </w:p>
    <w:p w14:paraId="6C37B2C4">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（15）制定应急物资储备和应急救援装备规划并组织实施，会同市粮食和物资储备局等部门建立健全应急物资信息平台和调拨制度，在救灾时统一调度。</w:t>
      </w:r>
    </w:p>
    <w:p w14:paraId="48204B86">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（16）负责应急管理、安全生产宣传教育和培训工作，组织指导应急管理、安全生产的科学技术研究、推广应用和信息化建设工作。</w:t>
      </w:r>
    </w:p>
    <w:p w14:paraId="146AFA70">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（17）指导、协调市地震局开展工作。</w:t>
      </w:r>
    </w:p>
    <w:p w14:paraId="5CC2F05C">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（18）完成市委、政府交办的其他任务。</w:t>
      </w:r>
    </w:p>
    <w:p w14:paraId="74D4E52C">
      <w:pPr>
        <w:pStyle w:val="9"/>
        <w:keepNext w:val="0"/>
        <w:keepLines w:val="0"/>
        <w:pageBreakBefore w:val="0"/>
        <w:widowControl/>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b w:val="0"/>
          <w:bCs w:val="0"/>
          <w:i w:val="0"/>
          <w:iCs w:val="0"/>
          <w:caps w:val="0"/>
          <w:color w:val="000000"/>
          <w:spacing w:val="0"/>
          <w:kern w:val="0"/>
          <w:sz w:val="32"/>
          <w:szCs w:val="32"/>
          <w:highlight w:val="none"/>
          <w:lang w:val="en-US" w:eastAsia="zh-CN"/>
        </w:rPr>
      </w:pPr>
      <w:r>
        <w:rPr>
          <w:rFonts w:hint="eastAsia" w:ascii="仿宋" w:hAnsi="仿宋" w:eastAsia="仿宋" w:cs="仿宋"/>
          <w:b w:val="0"/>
          <w:bCs w:val="0"/>
          <w:i w:val="0"/>
          <w:iCs w:val="0"/>
          <w:caps w:val="0"/>
          <w:color w:val="000000"/>
          <w:spacing w:val="0"/>
          <w:kern w:val="0"/>
          <w:sz w:val="32"/>
          <w:szCs w:val="32"/>
          <w:highlight w:val="none"/>
          <w:lang w:val="en-US" w:eastAsia="zh-CN"/>
        </w:rPr>
        <w:t>（19）职能转变。市应急管理局应加强、优化、统筹市应急能力建设，构建统一领导、权责一致、权威高效的应急能力体系，推动形成统一指挥、专常兼备、反应灵敏、上下联动、平战结合的中国特色、西藏特点、符合林芝实际的应急管理体制。一是坚持以防为主、防抗救结合，坚持常态减灾和非常态救灾相统一，努力实现从注重灾后救助向注重灾前预防转变，从应对单一灾种向综合减灾转变，从减少灾害损失向减轻灾害风险转变，提高市应急管理水平和防灾减灾救灾能力，防范化解重特大安全风险。二是坚持以人为本，把确保人民群众生命安全放在首位，确保受灾群众基本生活，加强应急预案演练，增强全民防灾减灾意识，普及公众知识，提升自救互救技能，切实减少人员伤亡和财产损失。三是树立安全发展理念，坚持生命至上、安全第一，完善安全生产责任制，坚决遏制重特大安全事故。</w:t>
      </w:r>
    </w:p>
    <w:p w14:paraId="424637C5">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9" w:name="_Toc22027"/>
      <w:r>
        <w:rPr>
          <w:rFonts w:hint="eastAsia" w:ascii="仿宋" w:hAnsi="仿宋" w:eastAsia="仿宋" w:cs="仿宋"/>
          <w:b/>
          <w:bCs/>
          <w:sz w:val="32"/>
          <w:szCs w:val="32"/>
          <w:highlight w:val="none"/>
        </w:rPr>
        <w:t>（二）机构设置情况</w:t>
      </w:r>
      <w:bookmarkEnd w:id="9"/>
    </w:p>
    <w:p w14:paraId="3CFA9B54">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sz w:val="32"/>
          <w:szCs w:val="32"/>
          <w:highlight w:val="yellow"/>
        </w:rPr>
      </w:pPr>
      <w:r>
        <w:rPr>
          <w:rFonts w:hint="eastAsia" w:ascii="仿宋" w:hAnsi="仿宋" w:eastAsia="仿宋" w:cs="仿宋"/>
          <w:b w:val="0"/>
          <w:bCs w:val="0"/>
          <w:i w:val="0"/>
          <w:iCs w:val="0"/>
          <w:caps w:val="0"/>
          <w:color w:val="000000"/>
          <w:spacing w:val="0"/>
          <w:kern w:val="0"/>
          <w:sz w:val="32"/>
          <w:szCs w:val="32"/>
          <w:highlight w:val="none"/>
          <w:lang w:val="en-US" w:eastAsia="zh-CN"/>
        </w:rPr>
        <w:t>部门内设7个行政机构，分别是办公室(政工人事科、规划财务科)，应急指挥中心（科技和信息化科），救援协调和预案管理科(风险监测和地质灾害救援科、救灾和物资保障科)，防汛抗旱和火灾防治管理科；安全生产基础科，安全生产综合协调科（调查评估和统计科），政策法规科（教育训练科、新闻宣传科）。</w:t>
      </w:r>
    </w:p>
    <w:p w14:paraId="778FFA4A">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10" w:name="_Toc29013"/>
      <w:r>
        <w:rPr>
          <w:rFonts w:hint="eastAsia" w:ascii="仿宋" w:hAnsi="仿宋" w:eastAsia="仿宋" w:cs="仿宋"/>
          <w:b/>
          <w:bCs/>
          <w:sz w:val="32"/>
          <w:szCs w:val="32"/>
          <w:highlight w:val="none"/>
        </w:rPr>
        <w:t>（三）人员编制情况</w:t>
      </w:r>
      <w:bookmarkEnd w:id="10"/>
    </w:p>
    <w:p w14:paraId="71DF18BB">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Cs w:val="0"/>
          <w:color w:val="000000"/>
          <w:kern w:val="0"/>
          <w:sz w:val="32"/>
          <w:szCs w:val="32"/>
          <w:highlight w:val="yellow"/>
          <w:lang w:val="en-US" w:eastAsia="zh-CN"/>
        </w:rPr>
      </w:pPr>
      <w:r>
        <w:rPr>
          <w:rFonts w:hint="eastAsia" w:ascii="仿宋" w:hAnsi="仿宋" w:eastAsia="仿宋" w:cs="仿宋"/>
          <w:bCs w:val="0"/>
          <w:color w:val="000000"/>
          <w:kern w:val="0"/>
          <w:sz w:val="32"/>
          <w:szCs w:val="32"/>
          <w:highlight w:val="none"/>
          <w:lang w:val="en-US" w:eastAsia="zh-CN"/>
        </w:rPr>
        <w:t>截至2023年</w:t>
      </w:r>
      <w:r>
        <w:rPr>
          <w:rFonts w:hint="eastAsia" w:ascii="仿宋" w:hAnsi="仿宋" w:eastAsia="仿宋" w:cs="仿宋"/>
          <w:color w:val="000000"/>
          <w:kern w:val="0"/>
          <w:sz w:val="32"/>
          <w:szCs w:val="32"/>
          <w:highlight w:val="none"/>
          <w:lang w:val="en-US" w:eastAsia="zh-CN"/>
        </w:rPr>
        <w:t>12月31日，</w:t>
      </w:r>
      <w:r>
        <w:rPr>
          <w:rFonts w:hint="eastAsia" w:ascii="仿宋" w:hAnsi="仿宋" w:eastAsia="仿宋" w:cs="仿宋"/>
          <w:b w:val="0"/>
          <w:bCs w:val="0"/>
          <w:i w:val="0"/>
          <w:iCs w:val="0"/>
          <w:caps w:val="0"/>
          <w:color w:val="000000"/>
          <w:spacing w:val="0"/>
          <w:kern w:val="0"/>
          <w:sz w:val="32"/>
          <w:szCs w:val="32"/>
          <w:lang w:val="en-US" w:eastAsia="zh-CN"/>
        </w:rPr>
        <w:t>林芝市应急管理局编制为24名</w:t>
      </w:r>
      <w:r>
        <w:rPr>
          <w:rFonts w:hint="eastAsia" w:ascii="仿宋" w:hAnsi="仿宋" w:eastAsia="仿宋" w:cs="仿宋"/>
          <w:b w:val="0"/>
          <w:bCs w:val="0"/>
          <w:i w:val="0"/>
          <w:iCs w:val="0"/>
          <w:caps w:val="0"/>
          <w:color w:val="000000"/>
          <w:spacing w:val="0"/>
          <w:kern w:val="0"/>
          <w:sz w:val="32"/>
          <w:szCs w:val="32"/>
          <w:highlight w:val="none"/>
          <w:lang w:val="en-US" w:eastAsia="zh-CN"/>
        </w:rPr>
        <w:t>，实际在职职工人数39人。</w:t>
      </w:r>
    </w:p>
    <w:p w14:paraId="7FA272FD">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outlineLvl w:val="1"/>
        <w:rPr>
          <w:rFonts w:hint="eastAsia" w:ascii="仿宋" w:hAnsi="仿宋" w:eastAsia="仿宋" w:cs="仿宋"/>
          <w:b/>
          <w:bCs/>
          <w:sz w:val="32"/>
          <w:szCs w:val="32"/>
          <w:highlight w:val="none"/>
        </w:rPr>
      </w:pPr>
      <w:bookmarkStart w:id="11" w:name="_Toc3783"/>
      <w:r>
        <w:rPr>
          <w:rFonts w:hint="eastAsia" w:ascii="仿宋" w:hAnsi="仿宋" w:eastAsia="仿宋" w:cs="仿宋"/>
          <w:b/>
          <w:bCs/>
          <w:sz w:val="32"/>
          <w:szCs w:val="32"/>
          <w:highlight w:val="none"/>
        </w:rPr>
        <w:t>（四）年度总体工作和重点工作任务</w:t>
      </w:r>
      <w:bookmarkEnd w:id="11"/>
    </w:p>
    <w:p w14:paraId="6EC7E63A">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1.年度总体工作</w:t>
      </w:r>
    </w:p>
    <w:p w14:paraId="1B9BFBF7">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Cs w:val="0"/>
          <w:color w:val="000000"/>
          <w:kern w:val="0"/>
          <w:sz w:val="32"/>
          <w:szCs w:val="32"/>
          <w:highlight w:val="none"/>
          <w:lang w:val="en-US" w:eastAsia="zh-CN"/>
        </w:rPr>
      </w:pPr>
      <w:r>
        <w:rPr>
          <w:rFonts w:hint="eastAsia" w:ascii="仿宋" w:hAnsi="仿宋" w:eastAsia="仿宋" w:cs="仿宋"/>
          <w:bCs w:val="0"/>
          <w:color w:val="000000"/>
          <w:kern w:val="0"/>
          <w:sz w:val="32"/>
          <w:szCs w:val="32"/>
          <w:highlight w:val="none"/>
          <w:lang w:val="en-US" w:eastAsia="zh-CN"/>
        </w:rPr>
        <w:t>2023年以来，林芝市应急管理局始终坚持以习近平新时代中国特色社会主义思想为指导,深入学习贯彻习近平总书记关于安全生产、防灾减灾救灾重要论述，真抓实千、主动作为，开展了大量基础性工作,生产安全事故起数始终保持全区最低位，为林芝市乃至全区经济社会发展营造了安全稳定的良好环境。坚持下好先手棋，早部署、先防范；坚持打好主动仗，强整治、除隐患；坚持压实监管责任，真督导、严执法；坚持防范化解风险，精准研判、科学应对；坚持人民至上理念，强化培训、狠抓宣传。</w:t>
      </w:r>
    </w:p>
    <w:p w14:paraId="0CB11599">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2.重点工作任务</w:t>
      </w:r>
    </w:p>
    <w:p w14:paraId="09317844">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坚持下好先手棋，早部署、先防范。2023年，市应急管理局先后组织召开安全防范部署会、重大事故隐患专项整治部署会等14次，认真研判分析安全生产形势，落实安全生产责任；制定印发《林芝市岁末年初安全生产重大隐患专项整治方案》《林芝市重大事故隐患专项整治2023年行动方案》《关于国庆节前后开展公共安全领域督导检查和重点建设项目安全生产联合执法检查工作方案的通知》等文件50余份，督促各单位落实安全生产责任，统筹抓好道路交通、建筑施工、铁路施工等领域安全风险防范和森林草原防灭火等工作，确保安全生产和防灾减灾形势总体稳定。</w:t>
      </w:r>
    </w:p>
    <w:p w14:paraId="582EF9AD">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坚持打好主动仗，强整治、除隐患。一是扎实开展重大事故隐患专项整治行动。聚焦道路交通、建筑施工、城镇燃气森林防火等重点行业领域,常态化开展排查整治工作。二是强化重大事故隐患挂牌督办。对检查中发现的重大安全事故隐患，敢于动真碰硬，果断采取挂牌督办措施，坚决做到“零容忍”，市安委办对85 处重大安全隐患进行了挂牌督办，落实整改责任，加强整改跟踪调度，目前已全部整改完毕。三是强化专家会诊抓安全。通过政府购买服务的方式邀请专家对危化品、烟花爆竹、非煤矿山、工贸领域等重点领域开展专项安全生产检查，共检查企业112家,发现问题隐患810条，已整改完毕。四是做好重点项目安全防范工作。先后2次召开川藏铁路、YX开发等重点项目安全防范会议，开展YX工程建设安全专项检查4次，发现问题隐患44条、已整改39条；组织开展边防公路安全生产专项检查，共检查在建工程项目12个，发现问题隐患160条，正在整改中。</w:t>
      </w:r>
    </w:p>
    <w:p w14:paraId="3438ED04">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坚持压实监管责任，真督导、严执法。一是强化安全生产综合督查。先后派出4批次12个综合督导组对全市各级各部门进行督导检查，共检查7县(区)和企业单位444家次，发现各类问题隐患948条，已整改完毕。森林草原防灭火方面:二是扎实开展举报调查处理和“双随机”执法工作。2023年以来共收到安全生产群众举报13条，已核查完成13条；制定了《林芝市应急管理局重大行政执法决定法制审核制度》，立案查处企业22起、处罚 38.4万元，责令暂时停产停业3家。三是扎实做好森林草原防灭火工作。充分发挥市森防办督促、协调、指导作用，先后组织开展森林草原防灭火督导检查7轮次，共发现问题隐患 305 条、均已完成整改。</w:t>
      </w:r>
    </w:p>
    <w:p w14:paraId="0DB5C8F8">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坚持防范化解风险，精准研判、科学应对。一是着力完善应急管理制度机制。在全区率先出台《林芝市党政部门安全生产工作职责》《林芝市政府领导安全生产和防灾减灾职责任务清单》《林芝市关于进一步明确新兴行业领域安全监管职责分工的通知》《林芝市安全生产监管分级分类实施办法》等4项制度机制，安全监管责任进一步压实。确保了我市森林草原防灭火形势稳定可控。二是着力强化应急救援力量建设。在全区率先成立应急管理专家库；率先在引导社会力量参与应急救援，2023年3月，我局与77251部队、市边境管理支队、安能集团等12家应急救援联动单位签订了联动协议并进行授牌。三是着力打造全区航空应急救援示范区。立足林芝市创建全区改革开放先行区目标定位，本着“先行先试”的原则，着力发展航空应急救援能力建设。探索“直升机+消防员+吊桶”救援模式，成立全区首支航空救援分队，组织开展吊桶酒水、机降、索(滑)降等科目训练；制定了灾情侦察程序、航空救援任务执行程序等6条程序制度，逐步实现航空应急救援规范化；成功处置了“1·17”雪崩灾害救援、“应急使命-2023”抗震救灾演练、米林县加拉村侦察堰塞湖灾情巡查并转运被困群众16人等工作任务，全方位打造全区航空应急救援示范区。四是扎实做好抗震救灾工作。积极开展地震“三网一员”宏观观测速报员选聘，实现8度以上地震危险区域地震观测及速报员率达42.6%，墨脱县全覆盖，防震减灾知识普及率达到80%以上，全年共选聘培训地震宏观前兆观测员及速报员223人，完成地震信息速报11期；深入学校开展防震减灾科普知识宣传并组织地震应急疏散演练；圆满完成“应急使命·西藏2023”抗震救灾实战演习各项工作。有力提升了我市地震灾害救援能力。</w:t>
      </w:r>
    </w:p>
    <w:p w14:paraId="2F6D3DB0">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坚持人民至上理念，强化培训、狠抓宣传。扎实开展教育培训，成功举办林芝市2023年烟花爆竹经营安全视频培训会、危化品企业安全生产标准化培训班、行政执法业务专题培训班和应急救援能力提升培训班，累计280余人次参加培训，提升安全生产业务知识和应急处置能力。持续加强宣传力度，依托“5·12”防灾减灾周、安全生产月等活动载体，持续推进安全生产“五进”以及事故警示教育活动，道路交通、消防安全、危化、燃气安全、建筑施工、森林防火、旅游安全等重点领域开展安全生产宣传活动1530余场次，推送宣传短信350余万条，多角度、立体化宣传安全生产和防灾减灾知识。</w:t>
      </w:r>
    </w:p>
    <w:p w14:paraId="128FA441">
      <w:pPr>
        <w:keepNext w:val="0"/>
        <w:keepLines w:val="0"/>
        <w:pageBreakBefore w:val="0"/>
        <w:widowControl w:val="0"/>
        <w:kinsoku/>
        <w:wordWrap/>
        <w:overflowPunct/>
        <w:topLinePunct w:val="0"/>
        <w:autoSpaceDE/>
        <w:autoSpaceDN/>
        <w:bidi w:val="0"/>
        <w:adjustRightInd/>
        <w:snapToGrid/>
        <w:ind w:firstLine="482"/>
        <w:textAlignment w:val="auto"/>
        <w:outlineLvl w:val="1"/>
        <w:rPr>
          <w:rFonts w:hint="eastAsia" w:ascii="仿宋" w:hAnsi="仿宋" w:eastAsia="仿宋" w:cs="仿宋"/>
          <w:b/>
          <w:bCs/>
          <w:sz w:val="32"/>
          <w:szCs w:val="32"/>
          <w:highlight w:val="none"/>
        </w:rPr>
      </w:pPr>
      <w:bookmarkStart w:id="12" w:name="_Toc23088"/>
      <w:r>
        <w:rPr>
          <w:rFonts w:hint="eastAsia" w:ascii="仿宋" w:hAnsi="仿宋" w:eastAsia="仿宋" w:cs="仿宋"/>
          <w:b/>
          <w:bCs/>
          <w:sz w:val="32"/>
          <w:szCs w:val="32"/>
          <w:highlight w:val="none"/>
        </w:rPr>
        <w:t>（五）部门预算批复及整体支出安排情况</w:t>
      </w:r>
      <w:bookmarkEnd w:id="12"/>
    </w:p>
    <w:p w14:paraId="06E7C369">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1.预算批复情况</w:t>
      </w:r>
    </w:p>
    <w:p w14:paraId="685DF52C">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市应急管理局</w:t>
      </w:r>
      <w:r>
        <w:rPr>
          <w:rFonts w:hint="eastAsia" w:ascii="仿宋" w:hAnsi="仿宋" w:eastAsia="仿宋" w:cs="仿宋"/>
          <w:sz w:val="32"/>
          <w:szCs w:val="32"/>
          <w:highlight w:val="none"/>
        </w:rPr>
        <w:t>年初预算数</w:t>
      </w:r>
      <w:r>
        <w:rPr>
          <w:rFonts w:hint="eastAsia" w:ascii="仿宋" w:hAnsi="仿宋" w:eastAsia="仿宋" w:cs="仿宋"/>
          <w:sz w:val="32"/>
          <w:szCs w:val="32"/>
          <w:highlight w:val="none"/>
          <w:lang w:val="en-US" w:eastAsia="zh-CN"/>
        </w:rPr>
        <w:t>1,725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19万</w:t>
      </w:r>
      <w:r>
        <w:rPr>
          <w:rFonts w:hint="eastAsia" w:ascii="仿宋" w:hAnsi="仿宋" w:eastAsia="仿宋" w:cs="仿宋"/>
          <w:sz w:val="32"/>
          <w:szCs w:val="32"/>
          <w:highlight w:val="none"/>
        </w:rPr>
        <w:t>元，综合</w:t>
      </w:r>
      <w:r>
        <w:rPr>
          <w:rFonts w:hint="eastAsia" w:ascii="仿宋" w:hAnsi="仿宋" w:eastAsia="仿宋" w:cs="仿宋"/>
          <w:sz w:val="32"/>
          <w:szCs w:val="32"/>
          <w:highlight w:val="none"/>
          <w:lang w:val="en-US" w:eastAsia="zh-CN"/>
        </w:rPr>
        <w:t>调整后调增数额为8,042.08万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调整后全年预算金额为</w:t>
      </w:r>
      <w:r>
        <w:rPr>
          <w:rFonts w:hint="eastAsia" w:ascii="仿宋" w:hAnsi="仿宋" w:eastAsia="仿宋" w:cs="仿宋"/>
          <w:sz w:val="32"/>
          <w:szCs w:val="32"/>
          <w:highlight w:val="none"/>
          <w:lang w:val="en-US" w:eastAsia="zh-CN"/>
        </w:rPr>
        <w:t>9,855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56万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其中：一般公共预算 8,810.64万元、政府性基金预算0.00万元、国有资本经营预算0.00万元、其他收入88.29万元、年初结转和结余956.63万元。</w:t>
      </w:r>
    </w:p>
    <w:p w14:paraId="257F45AE">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2.决算情况</w:t>
      </w:r>
    </w:p>
    <w:p w14:paraId="46562260">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市应急管理局</w:t>
      </w:r>
      <w:r>
        <w:rPr>
          <w:rFonts w:hint="eastAsia" w:ascii="仿宋" w:hAnsi="仿宋" w:eastAsia="仿宋" w:cs="仿宋"/>
          <w:sz w:val="32"/>
          <w:szCs w:val="32"/>
          <w:highlight w:val="none"/>
        </w:rPr>
        <w:t>决算数为2</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9</w:t>
      </w:r>
      <w:r>
        <w:rPr>
          <w:rFonts w:hint="eastAsia" w:ascii="仿宋" w:hAnsi="仿宋" w:eastAsia="仿宋" w:cs="仿宋"/>
          <w:sz w:val="32"/>
          <w:szCs w:val="32"/>
          <w:highlight w:val="none"/>
          <w:lang w:val="en-US" w:eastAsia="zh-CN"/>
        </w:rPr>
        <w:t>08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49万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其中：基本支出金额为1,184.25万元，项目支出金额为1,724.24万元。</w:t>
      </w:r>
    </w:p>
    <w:p w14:paraId="73400F61">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rPr>
      </w:pPr>
      <w:bookmarkStart w:id="13" w:name="_Toc30634"/>
      <w:r>
        <w:rPr>
          <w:rFonts w:hint="eastAsia" w:ascii="仿宋" w:hAnsi="仿宋" w:eastAsia="仿宋" w:cs="仿宋"/>
          <w:b/>
          <w:bCs/>
          <w:sz w:val="32"/>
          <w:szCs w:val="32"/>
          <w:highlight w:val="none"/>
          <w:lang w:bidi="ar"/>
        </w:rPr>
        <w:t>二、绩效评价工作开展情况</w:t>
      </w:r>
      <w:bookmarkEnd w:id="13"/>
    </w:p>
    <w:p w14:paraId="72F9F903">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4" w:name="_Toc8011"/>
      <w:r>
        <w:rPr>
          <w:rFonts w:hint="eastAsia" w:ascii="仿宋" w:hAnsi="仿宋" w:eastAsia="仿宋" w:cs="仿宋"/>
          <w:b/>
          <w:bCs/>
          <w:sz w:val="32"/>
          <w:szCs w:val="32"/>
          <w:highlight w:val="none"/>
          <w:lang w:bidi="ar"/>
        </w:rPr>
        <w:t>（一）绩效评价目的、对象和范围</w:t>
      </w:r>
      <w:bookmarkEnd w:id="14"/>
    </w:p>
    <w:p w14:paraId="4CAF2686">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sz w:val="32"/>
          <w:szCs w:val="32"/>
          <w:highlight w:val="none"/>
          <w:lang w:val="en"/>
        </w:rPr>
      </w:pPr>
      <w:r>
        <w:rPr>
          <w:rFonts w:hint="eastAsia" w:ascii="仿宋" w:hAnsi="仿宋" w:eastAsia="仿宋" w:cs="仿宋"/>
          <w:b/>
          <w:bCs/>
          <w:sz w:val="32"/>
          <w:szCs w:val="32"/>
          <w:highlight w:val="none"/>
          <w:lang w:bidi="ar"/>
        </w:rPr>
        <w:t xml:space="preserve"> </w:t>
      </w:r>
      <w:r>
        <w:rPr>
          <w:rFonts w:hint="eastAsia" w:ascii="仿宋" w:hAnsi="仿宋" w:eastAsia="仿宋" w:cs="仿宋"/>
          <w:sz w:val="32"/>
          <w:szCs w:val="32"/>
          <w:highlight w:val="none"/>
          <w:lang w:val="en"/>
        </w:rPr>
        <w:t>1.评价目的</w:t>
      </w:r>
    </w:p>
    <w:p w14:paraId="098F3DD6">
      <w:pPr>
        <w:pStyle w:val="4"/>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
        </w:rPr>
      </w:pPr>
      <w:r>
        <w:rPr>
          <w:rFonts w:hint="eastAsia" w:ascii="仿宋" w:hAnsi="仿宋" w:eastAsia="仿宋" w:cs="仿宋"/>
          <w:sz w:val="32"/>
          <w:szCs w:val="32"/>
          <w:highlight w:val="none"/>
          <w:lang w:val="en"/>
        </w:rPr>
        <w:t>本次评价根据《中共中央、国务院关于全面实施预算绩效管理的意见》（中发〔2018〕34 号）、西藏自治区人民政府《关于全面实施预算绩效管理的实施意见》（藏党发〔2020〕7号）部署的要求，以预算资金为主线，梳理部门预算执行过程中涉及的目标管理、预算管理、资产管理等内容，综合分析部门的管理效率，落实部门预算主体责任，提高部门资金、资产等资源统筹配置能力；以战略目标和职责目标为基础，综合评价部门履职结果，反映财政资金支出结果，提升部门整体预算绩效管理水平。</w:t>
      </w:r>
    </w:p>
    <w:p w14:paraId="0CC7E477">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2.评价对象和范围</w:t>
      </w:r>
    </w:p>
    <w:p w14:paraId="74F59902">
      <w:pPr>
        <w:pStyle w:val="4"/>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b/>
          <w:bCs/>
          <w:sz w:val="32"/>
          <w:szCs w:val="32"/>
          <w:highlight w:val="none"/>
          <w:lang w:val="en"/>
        </w:rPr>
      </w:pPr>
      <w:r>
        <w:rPr>
          <w:rFonts w:hint="eastAsia" w:ascii="仿宋" w:hAnsi="仿宋" w:eastAsia="仿宋" w:cs="仿宋"/>
          <w:sz w:val="32"/>
          <w:szCs w:val="32"/>
          <w:highlight w:val="none"/>
          <w:lang w:val="en"/>
        </w:rPr>
        <w:t>本次评价对象为</w:t>
      </w:r>
      <w:r>
        <w:rPr>
          <w:rFonts w:hint="eastAsia" w:ascii="仿宋" w:hAnsi="仿宋" w:eastAsia="仿宋" w:cs="仿宋"/>
          <w:sz w:val="32"/>
          <w:szCs w:val="32"/>
          <w:highlight w:val="none"/>
          <w:lang w:val="en-US" w:eastAsia="zh-CN"/>
        </w:rPr>
        <w:t>市应急管理局</w:t>
      </w:r>
      <w:r>
        <w:rPr>
          <w:rFonts w:hint="eastAsia" w:ascii="仿宋" w:hAnsi="仿宋" w:eastAsia="仿宋" w:cs="仿宋"/>
          <w:sz w:val="32"/>
          <w:szCs w:val="32"/>
          <w:highlight w:val="none"/>
          <w:lang w:val="en"/>
        </w:rPr>
        <w:t>，预算资金</w:t>
      </w:r>
      <w:r>
        <w:rPr>
          <w:rFonts w:hint="eastAsia" w:ascii="仿宋" w:hAnsi="仿宋" w:eastAsia="仿宋" w:cs="仿宋"/>
          <w:sz w:val="32"/>
          <w:szCs w:val="32"/>
          <w:highlight w:val="none"/>
          <w:lang w:val="en-US" w:eastAsia="zh-CN"/>
        </w:rPr>
        <w:t>9,855</w:t>
      </w:r>
      <w:r>
        <w:rPr>
          <w:rFonts w:hint="eastAsia" w:ascii="仿宋" w:hAnsi="仿宋" w:eastAsia="仿宋" w:cs="仿宋"/>
          <w:sz w:val="32"/>
          <w:szCs w:val="32"/>
          <w:highlight w:val="none"/>
          <w:lang w:val="en"/>
        </w:rPr>
        <w:t>.</w:t>
      </w:r>
      <w:r>
        <w:rPr>
          <w:rFonts w:hint="eastAsia" w:ascii="仿宋" w:hAnsi="仿宋" w:eastAsia="仿宋" w:cs="仿宋"/>
          <w:sz w:val="32"/>
          <w:szCs w:val="32"/>
          <w:highlight w:val="none"/>
          <w:lang w:val="en-US" w:eastAsia="zh-CN"/>
        </w:rPr>
        <w:t>56万</w:t>
      </w:r>
      <w:r>
        <w:rPr>
          <w:rFonts w:hint="eastAsia" w:ascii="仿宋" w:hAnsi="仿宋" w:eastAsia="仿宋" w:cs="仿宋"/>
          <w:sz w:val="32"/>
          <w:szCs w:val="32"/>
          <w:highlight w:val="none"/>
          <w:lang w:val="en" w:eastAsia="zh-CN"/>
        </w:rPr>
        <w:t>元</w:t>
      </w:r>
      <w:r>
        <w:rPr>
          <w:rFonts w:hint="eastAsia" w:ascii="仿宋" w:hAnsi="仿宋" w:eastAsia="仿宋" w:cs="仿宋"/>
          <w:sz w:val="32"/>
          <w:szCs w:val="32"/>
          <w:highlight w:val="none"/>
          <w:lang w:val="en"/>
        </w:rPr>
        <w:t>。评价时间范围：202</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
        </w:rPr>
        <w:t xml:space="preserve"> 年1月1日至 202</w:t>
      </w: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
        </w:rPr>
        <w:t xml:space="preserve"> 年12月31日。</w:t>
      </w:r>
    </w:p>
    <w:p w14:paraId="4FE7FA1F">
      <w:pPr>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5" w:name="_Toc4468"/>
      <w:bookmarkStart w:id="16" w:name="_Toc27310"/>
      <w:bookmarkStart w:id="17" w:name="_Toc2914"/>
      <w:r>
        <w:rPr>
          <w:rFonts w:hint="eastAsia" w:ascii="仿宋" w:hAnsi="仿宋" w:eastAsia="仿宋" w:cs="仿宋"/>
          <w:b/>
          <w:bCs/>
          <w:sz w:val="32"/>
          <w:szCs w:val="32"/>
          <w:highlight w:val="none"/>
          <w:lang w:val="en"/>
        </w:rPr>
        <w:t>（</w:t>
      </w:r>
      <w:r>
        <w:rPr>
          <w:rFonts w:hint="eastAsia" w:ascii="仿宋" w:hAnsi="仿宋" w:eastAsia="仿宋" w:cs="仿宋"/>
          <w:b/>
          <w:bCs/>
          <w:sz w:val="32"/>
          <w:szCs w:val="32"/>
          <w:highlight w:val="none"/>
        </w:rPr>
        <w:t>二）</w:t>
      </w:r>
      <w:r>
        <w:rPr>
          <w:rFonts w:hint="eastAsia" w:ascii="仿宋" w:hAnsi="仿宋" w:eastAsia="仿宋" w:cs="仿宋"/>
          <w:b/>
          <w:bCs/>
          <w:sz w:val="32"/>
          <w:szCs w:val="32"/>
          <w:highlight w:val="none"/>
          <w:lang w:val="en-US" w:eastAsia="zh-CN"/>
        </w:rPr>
        <w:t>评价依据、</w:t>
      </w:r>
      <w:r>
        <w:rPr>
          <w:rFonts w:hint="eastAsia" w:ascii="仿宋" w:hAnsi="仿宋" w:eastAsia="仿宋" w:cs="仿宋"/>
          <w:b/>
          <w:bCs/>
          <w:sz w:val="32"/>
          <w:szCs w:val="32"/>
          <w:highlight w:val="none"/>
          <w:lang w:val="en"/>
        </w:rPr>
        <w:t>绩效评价原则、评价方法、评价标准、评价指标体系</w:t>
      </w:r>
      <w:bookmarkEnd w:id="15"/>
      <w:bookmarkEnd w:id="16"/>
      <w:bookmarkEnd w:id="17"/>
    </w:p>
    <w:p w14:paraId="4BA829DE">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评价依据</w:t>
      </w:r>
    </w:p>
    <w:p w14:paraId="48806626">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(1)《中华人民共和国预算法》</w:t>
      </w:r>
    </w:p>
    <w:p w14:paraId="43F4B900">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(2)《中华人民共和国预算法实施条例》</w:t>
      </w:r>
    </w:p>
    <w:p w14:paraId="716882D2">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(3)《中共中央国务院关于全面实施预算绩效管理的意见》（中发〔2018〕34号）</w:t>
      </w:r>
    </w:p>
    <w:p w14:paraId="07DBB214">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(4)《国务院办公厅关于政府向社会力量购买服务的指导意见》（国办发〔2013〕96号）</w:t>
      </w:r>
    </w:p>
    <w:p w14:paraId="18FF9CCD">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(5)《财政支出绩效评价管理暂行办法》（财预〔2011〕285号）</w:t>
      </w:r>
    </w:p>
    <w:p w14:paraId="031CBF97">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(6)《中共西藏自治区委员会西藏自治区人民政府关于全面实施预算绩效管理的实施意见》（藏党发〔2020〕7号）</w:t>
      </w:r>
    </w:p>
    <w:p w14:paraId="6042405B">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(7)《西藏自治区财政支出预算绩效评价管理暂行办法》（藏财预字〔2018〕89号）</w:t>
      </w:r>
    </w:p>
    <w:p w14:paraId="5B46A27D">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(8)《西藏自治区预算绩效评价指标体系框架》（藏财预〔2018〕174号）</w:t>
      </w:r>
    </w:p>
    <w:p w14:paraId="5E1FF13C">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(9)其他相关法律法规。</w:t>
      </w:r>
    </w:p>
    <w:p w14:paraId="15C6A51B">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评价原则</w:t>
      </w:r>
    </w:p>
    <w:p w14:paraId="4A84EE96">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科学规范原则。绩效评价应当严格执行国家、自治区规定的程序、按照科学可行的要求执行。</w:t>
      </w:r>
    </w:p>
    <w:p w14:paraId="73496162">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客观公正原则。绩效评价应当符合真实、客观、公正的要求，做到指标科学、标准客观、权重合理、数据准确、资料可靠、程序规范、评价公正，绩效评价报告要内容完整、依据充分、分析透彻、逻辑清晰、客观公正。</w:t>
      </w:r>
    </w:p>
    <w:p w14:paraId="0AF65444">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绩效相关原则。绩效评价应当针对具体支出及其产出绩效进行，评价指标与支出目标具有直接的联系，评价结果能够清晰反映支出和产出绩效之间的紧密对应关系。</w:t>
      </w:r>
    </w:p>
    <w:p w14:paraId="4F11A210">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.评价方法</w:t>
      </w:r>
    </w:p>
    <w:p w14:paraId="5C8B445D">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为确保评价过程、结论的科学与准确性，根据评价工作需要及部门特点，评价工作中主要采用包括比较法、因素分析法、公众评价法和其他评价方法等，以充分采集和核实评价所需要的基础数据资料，进行科学的分析处理，得出评价结论。</w:t>
      </w:r>
    </w:p>
    <w:p w14:paraId="3B278FEA">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.评价标准</w:t>
      </w:r>
    </w:p>
    <w:p w14:paraId="156EE130">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本次绩效评价采用的评价标准主要为：</w:t>
      </w:r>
    </w:p>
    <w:p w14:paraId="4A4B9064">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（1）计划标准，本次评价中部分产出指标采用计划标准作为评价标准，计划标准来源于部门中长期发展规划、部门重点工作任务计划。</w:t>
      </w:r>
    </w:p>
    <w:p w14:paraId="4D430ADF">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（2）历史标准，在本次评价中部分效益指标采用历史标准作为评价标准，历史标准来源于以前年度相关数据统计。</w:t>
      </w:r>
    </w:p>
    <w:p w14:paraId="53699438">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（3）行业标准。本次评价将</w:t>
      </w:r>
      <w:r>
        <w:rPr>
          <w:rFonts w:hint="eastAsia" w:ascii="仿宋" w:hAnsi="仿宋" w:eastAsia="仿宋" w:cs="仿宋"/>
          <w:sz w:val="32"/>
          <w:szCs w:val="32"/>
          <w:highlight w:val="none"/>
          <w:lang w:val="en-US" w:eastAsia="zh-CN"/>
        </w:rPr>
        <w:t>市应急管理局</w:t>
      </w:r>
      <w:bookmarkStart w:id="34" w:name="_GoBack"/>
      <w:bookmarkEnd w:id="34"/>
      <w:r>
        <w:rPr>
          <w:rFonts w:hint="eastAsia" w:ascii="仿宋" w:hAnsi="仿宋" w:eastAsia="仿宋" w:cs="仿宋"/>
          <w:sz w:val="32"/>
          <w:szCs w:val="32"/>
          <w:highlight w:val="none"/>
        </w:rPr>
        <w:t>履职目标要求作为行业标准参考。</w:t>
      </w:r>
    </w:p>
    <w:p w14:paraId="1747CC41">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（4）其他标准。财政部等相关部门认可的其他标准。本次评价中决策及过程指标采用其他标准。</w:t>
      </w:r>
    </w:p>
    <w:p w14:paraId="40241333">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.评价指标体系</w:t>
      </w:r>
    </w:p>
    <w:p w14:paraId="74A9E812">
      <w:pPr>
        <w:pStyle w:val="4"/>
        <w:keepNext w:val="0"/>
        <w:keepLines w:val="0"/>
        <w:pageBreakBefore w:val="0"/>
        <w:tabs>
          <w:tab w:val="left" w:pos="0"/>
        </w:tabs>
        <w:kinsoku/>
        <w:wordWrap/>
        <w:overflowPunct/>
        <w:topLinePunct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本次评价以《中共中央国务院关于全面实施预算绩效管理的意见》（中发〔2018〕34 号）要求为基础，构建“以部门规划、运行成本、基础管理、资产管理、预算管理等共性指标评价部门管理效率，以履职效能、社会效益、可持续发展能力、服务对象满意等个性指标评价部门履职结果”的评价体系框架。</w:t>
      </w:r>
    </w:p>
    <w:p w14:paraId="2807A27F">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color w:val="000000"/>
          <w:sz w:val="32"/>
          <w:szCs w:val="32"/>
          <w:highlight w:val="none"/>
        </w:rPr>
      </w:pPr>
      <w:r>
        <w:rPr>
          <w:rFonts w:hint="eastAsia" w:ascii="仿宋" w:hAnsi="仿宋" w:eastAsia="仿宋" w:cs="仿宋"/>
          <w:sz w:val="32"/>
          <w:szCs w:val="32"/>
          <w:highlight w:val="none"/>
          <w:lang w:val="zh-CN"/>
        </w:rPr>
        <w:t xml:space="preserve">绩效评价结果量化为百分制综合评分，并按照综合评分进行分级。综合评分为 90 分（含）以上的为“优”， </w:t>
      </w:r>
      <w:r>
        <w:rPr>
          <w:rFonts w:hint="eastAsia" w:ascii="仿宋" w:hAnsi="仿宋" w:eastAsia="仿宋" w:cs="仿宋"/>
          <w:sz w:val="32"/>
          <w:szCs w:val="32"/>
          <w:highlight w:val="none"/>
        </w:rPr>
        <w:t>75</w:t>
      </w:r>
      <w:r>
        <w:rPr>
          <w:rFonts w:hint="eastAsia" w:ascii="仿宋" w:hAnsi="仿宋" w:eastAsia="仿宋" w:cs="仿宋"/>
          <w:sz w:val="32"/>
          <w:szCs w:val="32"/>
          <w:highlight w:val="none"/>
          <w:lang w:val="zh-CN"/>
        </w:rPr>
        <w:t xml:space="preserve">分（含）至 90 分的为“良”，60 分（含）至 </w:t>
      </w:r>
      <w:r>
        <w:rPr>
          <w:rFonts w:hint="eastAsia" w:ascii="仿宋" w:hAnsi="仿宋" w:eastAsia="仿宋" w:cs="仿宋"/>
          <w:sz w:val="32"/>
          <w:szCs w:val="32"/>
          <w:highlight w:val="none"/>
        </w:rPr>
        <w:t>75</w:t>
      </w:r>
      <w:r>
        <w:rPr>
          <w:rFonts w:hint="eastAsia" w:ascii="仿宋" w:hAnsi="仿宋" w:eastAsia="仿宋" w:cs="仿宋"/>
          <w:sz w:val="32"/>
          <w:szCs w:val="32"/>
          <w:highlight w:val="none"/>
          <w:lang w:val="zh-CN"/>
        </w:rPr>
        <w:t>分的为“中”，60分以下的为“差”</w:t>
      </w:r>
      <w:r>
        <w:rPr>
          <w:rFonts w:hint="eastAsia" w:ascii="仿宋" w:hAnsi="仿宋" w:eastAsia="仿宋" w:cs="仿宋"/>
          <w:color w:val="000000"/>
          <w:sz w:val="32"/>
          <w:szCs w:val="32"/>
          <w:highlight w:val="none"/>
          <w:lang w:bidi="ar"/>
        </w:rPr>
        <w:t>。</w:t>
      </w:r>
    </w:p>
    <w:p w14:paraId="778A42D2">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18" w:name="_Toc14946"/>
      <w:r>
        <w:rPr>
          <w:rFonts w:hint="eastAsia" w:ascii="仿宋" w:hAnsi="仿宋" w:eastAsia="仿宋" w:cs="仿宋"/>
          <w:b/>
          <w:bCs/>
          <w:sz w:val="32"/>
          <w:szCs w:val="32"/>
          <w:highlight w:val="none"/>
          <w:lang w:bidi="ar"/>
        </w:rPr>
        <w:t>（三）绩效评价工作过程</w:t>
      </w:r>
      <w:bookmarkEnd w:id="18"/>
    </w:p>
    <w:p w14:paraId="5F9B0456">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本次绩效评价工作主要分为前期准备、评价实施和形成报告三个阶段。具体情况如下： </w:t>
      </w:r>
    </w:p>
    <w:p w14:paraId="59A48841">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1.前期准备阶段</w:t>
      </w:r>
    </w:p>
    <w:p w14:paraId="6B560BC1">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（1）成立工作组。在明确委托方要求后，组建工作组，明确工作组内的任务分工。</w:t>
      </w:r>
    </w:p>
    <w:p w14:paraId="107F1C6B">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2）编制工作方案。编制绩效评价工作方案，对评价对象、评价内容、评价方式方法、评价体系和标准、工作程序和时间安排、人员安排及相关附件等作出具体规定。工作方案将报委托方审阅征求意见，并进行调整完善。 </w:t>
      </w:r>
    </w:p>
    <w:p w14:paraId="4FE03188">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2.评价实施阶段</w:t>
      </w:r>
    </w:p>
    <w:p w14:paraId="0A60A9C1">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（1）前期准备通知</w:t>
      </w:r>
    </w:p>
    <w:p w14:paraId="492A2858">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工作组通过委托方获取项目单位联系方式，与项目单位提前沟通，下发资料清单，由项目单位进行前期资料准备。</w:t>
      </w:r>
    </w:p>
    <w:p w14:paraId="42E4306D">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（2）收集部门资料</w:t>
      </w:r>
    </w:p>
    <w:p w14:paraId="1D8CAF88">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为满足评价工作需要，通过邮件、电话、建立微信工作群等方式，根据需要准备资料清单，跟踪辅导被评价项目 单位准备评价所需相关资料，对遇到的疑惑，及时予以解答，为被评价项目单位能够提供出满足评价需要的资料提供辅导支持。</w:t>
      </w:r>
    </w:p>
    <w:p w14:paraId="141E6A18">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（3）资料收集及审核反馈</w:t>
      </w:r>
    </w:p>
    <w:p w14:paraId="1301585C">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工作组将依据资料收集清单对资料进 行形式审核，对于不符合要求、存在重大缺项漏项的资料予以退回，并反馈原因，辅导被评价项目单位补充完善。</w:t>
      </w:r>
    </w:p>
    <w:p w14:paraId="7D19E666">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（4）非现场评价</w:t>
      </w:r>
    </w:p>
    <w:p w14:paraId="3F53E072">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主要对被评价项目提交的评价相关资料进行审核，统计和评分，在审核过程中对于存有疑义的问题，我们会与相关单位充分沟通，对于对评价结果有重大影响的存疑事项，也将进行现场检查或勘察。 </w:t>
      </w:r>
    </w:p>
    <w:p w14:paraId="37BB693A">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（5）综合评价分析</w:t>
      </w:r>
    </w:p>
    <w:p w14:paraId="508D1435">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 xml:space="preserve">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 </w:t>
      </w:r>
    </w:p>
    <w:p w14:paraId="7FD0D2E1">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 xml:space="preserve">3.报告撰写阶段 </w:t>
      </w:r>
    </w:p>
    <w:p w14:paraId="30C2A249">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在前期工作开展的基础上，工作组对项目情况进行汇总和分析， 撰写绩效评价报告，经公司内部审核后，递交委托方征求意见并根据反馈意见修改完成形成报告终稿。</w:t>
      </w:r>
    </w:p>
    <w:p w14:paraId="787B8887">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lang w:bidi="ar"/>
        </w:rPr>
      </w:pPr>
      <w:bookmarkStart w:id="19" w:name="_Toc2976"/>
      <w:r>
        <w:rPr>
          <w:rFonts w:hint="eastAsia" w:ascii="仿宋" w:hAnsi="仿宋" w:eastAsia="仿宋" w:cs="仿宋"/>
          <w:b/>
          <w:bCs/>
          <w:sz w:val="32"/>
          <w:szCs w:val="32"/>
          <w:highlight w:val="none"/>
          <w:lang w:bidi="ar"/>
        </w:rPr>
        <w:t>三、综合评价情况及评价结论</w:t>
      </w:r>
      <w:bookmarkEnd w:id="19"/>
    </w:p>
    <w:p w14:paraId="213D171C">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表3-1 2023年部门整体支出指标评分表</w:t>
      </w:r>
    </w:p>
    <w:tbl>
      <w:tblPr>
        <w:tblStyle w:val="10"/>
        <w:tblW w:w="4997" w:type="pct"/>
        <w:jc w:val="center"/>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autofit"/>
        <w:tblCellMar>
          <w:top w:w="0" w:type="dxa"/>
          <w:left w:w="0" w:type="dxa"/>
          <w:bottom w:w="0" w:type="dxa"/>
          <w:right w:w="0" w:type="dxa"/>
        </w:tblCellMar>
      </w:tblPr>
      <w:tblGrid>
        <w:gridCol w:w="2209"/>
        <w:gridCol w:w="2210"/>
        <w:gridCol w:w="2210"/>
        <w:gridCol w:w="2238"/>
      </w:tblGrid>
      <w:tr w14:paraId="7C69733F">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28D85B33">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一级指标</w:t>
            </w:r>
          </w:p>
        </w:tc>
        <w:tc>
          <w:tcPr>
            <w:tcW w:w="1246" w:type="pct"/>
            <w:tcBorders>
              <w:tl2br w:val="nil"/>
              <w:tr2bl w:val="nil"/>
            </w:tcBorders>
            <w:noWrap w:val="0"/>
            <w:tcMar>
              <w:top w:w="10" w:type="dxa"/>
              <w:left w:w="10" w:type="dxa"/>
              <w:right w:w="10" w:type="dxa"/>
            </w:tcMar>
            <w:vAlign w:val="center"/>
          </w:tcPr>
          <w:p w14:paraId="435EAE6F">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分值</w:t>
            </w:r>
          </w:p>
        </w:tc>
        <w:tc>
          <w:tcPr>
            <w:tcW w:w="1246" w:type="pct"/>
            <w:tcBorders>
              <w:tl2br w:val="nil"/>
              <w:tr2bl w:val="nil"/>
            </w:tcBorders>
            <w:noWrap w:val="0"/>
            <w:tcMar>
              <w:top w:w="10" w:type="dxa"/>
              <w:left w:w="10" w:type="dxa"/>
              <w:right w:w="10" w:type="dxa"/>
            </w:tcMar>
            <w:vAlign w:val="center"/>
          </w:tcPr>
          <w:p w14:paraId="62571EFA">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得分</w:t>
            </w:r>
          </w:p>
        </w:tc>
        <w:tc>
          <w:tcPr>
            <w:tcW w:w="1259" w:type="pct"/>
            <w:tcBorders>
              <w:tl2br w:val="nil"/>
              <w:tr2bl w:val="nil"/>
            </w:tcBorders>
            <w:noWrap w:val="0"/>
            <w:tcMar>
              <w:top w:w="10" w:type="dxa"/>
              <w:left w:w="10" w:type="dxa"/>
              <w:right w:w="10" w:type="dxa"/>
            </w:tcMar>
            <w:vAlign w:val="center"/>
          </w:tcPr>
          <w:p w14:paraId="75152BD0">
            <w:pPr>
              <w:autoSpaceDE w:val="0"/>
              <w:spacing w:line="240" w:lineRule="auto"/>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得分率</w:t>
            </w:r>
          </w:p>
        </w:tc>
      </w:tr>
      <w:tr w14:paraId="385D13B5">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5DBF6534">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投入</w:t>
            </w:r>
          </w:p>
        </w:tc>
        <w:tc>
          <w:tcPr>
            <w:tcW w:w="1246" w:type="pct"/>
            <w:tcBorders>
              <w:tl2br w:val="nil"/>
              <w:tr2bl w:val="nil"/>
            </w:tcBorders>
            <w:noWrap w:val="0"/>
            <w:tcMar>
              <w:top w:w="10" w:type="dxa"/>
              <w:left w:w="10" w:type="dxa"/>
              <w:right w:w="10" w:type="dxa"/>
            </w:tcMar>
            <w:vAlign w:val="center"/>
          </w:tcPr>
          <w:p w14:paraId="7DF08C0A">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15</w:t>
            </w:r>
          </w:p>
        </w:tc>
        <w:tc>
          <w:tcPr>
            <w:tcW w:w="1246" w:type="pct"/>
            <w:tcBorders>
              <w:tl2br w:val="nil"/>
              <w:tr2bl w:val="nil"/>
            </w:tcBorders>
            <w:noWrap w:val="0"/>
            <w:tcMar>
              <w:top w:w="10" w:type="dxa"/>
              <w:left w:w="10" w:type="dxa"/>
              <w:right w:w="10" w:type="dxa"/>
            </w:tcMar>
            <w:vAlign w:val="center"/>
          </w:tcPr>
          <w:p w14:paraId="09E55031">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259" w:type="pct"/>
            <w:tcBorders>
              <w:tl2br w:val="nil"/>
              <w:tr2bl w:val="nil"/>
            </w:tcBorders>
            <w:noWrap w:val="0"/>
            <w:tcMar>
              <w:top w:w="10" w:type="dxa"/>
              <w:left w:w="10" w:type="dxa"/>
              <w:right w:w="10" w:type="dxa"/>
            </w:tcMar>
            <w:vAlign w:val="center"/>
          </w:tcPr>
          <w:p w14:paraId="2B623499">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60.00%</w:t>
            </w:r>
          </w:p>
        </w:tc>
      </w:tr>
      <w:tr w14:paraId="5E100919">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290F32BA">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过程</w:t>
            </w:r>
          </w:p>
        </w:tc>
        <w:tc>
          <w:tcPr>
            <w:tcW w:w="1246" w:type="pct"/>
            <w:tcBorders>
              <w:tl2br w:val="nil"/>
              <w:tr2bl w:val="nil"/>
            </w:tcBorders>
            <w:noWrap w:val="0"/>
            <w:tcMar>
              <w:top w:w="10" w:type="dxa"/>
              <w:left w:w="10" w:type="dxa"/>
              <w:right w:w="10" w:type="dxa"/>
            </w:tcMar>
            <w:vAlign w:val="center"/>
          </w:tcPr>
          <w:p w14:paraId="4748D569">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49</w:t>
            </w:r>
          </w:p>
        </w:tc>
        <w:tc>
          <w:tcPr>
            <w:tcW w:w="1246" w:type="pct"/>
            <w:tcBorders>
              <w:tl2br w:val="nil"/>
              <w:tr2bl w:val="nil"/>
            </w:tcBorders>
            <w:noWrap w:val="0"/>
            <w:tcMar>
              <w:top w:w="10" w:type="dxa"/>
              <w:left w:w="10" w:type="dxa"/>
              <w:right w:w="10" w:type="dxa"/>
            </w:tcMar>
            <w:vAlign w:val="center"/>
          </w:tcPr>
          <w:p w14:paraId="35E96E07">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28</w:t>
            </w:r>
          </w:p>
        </w:tc>
        <w:tc>
          <w:tcPr>
            <w:tcW w:w="1259" w:type="pct"/>
            <w:tcBorders>
              <w:tl2br w:val="nil"/>
              <w:tr2bl w:val="nil"/>
            </w:tcBorders>
            <w:noWrap w:val="0"/>
            <w:tcMar>
              <w:top w:w="10" w:type="dxa"/>
              <w:left w:w="10" w:type="dxa"/>
              <w:right w:w="10" w:type="dxa"/>
            </w:tcMar>
            <w:vAlign w:val="center"/>
          </w:tcPr>
          <w:p w14:paraId="11084F6B">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57.14%</w:t>
            </w:r>
          </w:p>
        </w:tc>
      </w:tr>
      <w:tr w14:paraId="02CACE56">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1D793B7E">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产出</w:t>
            </w:r>
          </w:p>
        </w:tc>
        <w:tc>
          <w:tcPr>
            <w:tcW w:w="1246" w:type="pct"/>
            <w:tcBorders>
              <w:tl2br w:val="nil"/>
              <w:tr2bl w:val="nil"/>
            </w:tcBorders>
            <w:noWrap w:val="0"/>
            <w:tcMar>
              <w:top w:w="10" w:type="dxa"/>
              <w:left w:w="10" w:type="dxa"/>
              <w:right w:w="10" w:type="dxa"/>
            </w:tcMar>
            <w:vAlign w:val="center"/>
          </w:tcPr>
          <w:p w14:paraId="5504414A">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16</w:t>
            </w:r>
          </w:p>
        </w:tc>
        <w:tc>
          <w:tcPr>
            <w:tcW w:w="1246" w:type="pct"/>
            <w:tcBorders>
              <w:tl2br w:val="nil"/>
              <w:tr2bl w:val="nil"/>
            </w:tcBorders>
            <w:noWrap w:val="0"/>
            <w:tcMar>
              <w:top w:w="10" w:type="dxa"/>
              <w:left w:w="10" w:type="dxa"/>
              <w:right w:w="10" w:type="dxa"/>
            </w:tcMar>
            <w:vAlign w:val="center"/>
          </w:tcPr>
          <w:p w14:paraId="6D335116">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13.70</w:t>
            </w:r>
          </w:p>
        </w:tc>
        <w:tc>
          <w:tcPr>
            <w:tcW w:w="1259" w:type="pct"/>
            <w:tcBorders>
              <w:tl2br w:val="nil"/>
              <w:tr2bl w:val="nil"/>
            </w:tcBorders>
            <w:noWrap w:val="0"/>
            <w:tcMar>
              <w:top w:w="10" w:type="dxa"/>
              <w:left w:w="10" w:type="dxa"/>
              <w:right w:w="10" w:type="dxa"/>
            </w:tcMar>
            <w:vAlign w:val="center"/>
          </w:tcPr>
          <w:p w14:paraId="265598DE">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85.63%</w:t>
            </w:r>
          </w:p>
        </w:tc>
      </w:tr>
      <w:tr w14:paraId="64AFB745">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1246" w:type="pct"/>
            <w:tcBorders>
              <w:tl2br w:val="nil"/>
              <w:tr2bl w:val="nil"/>
            </w:tcBorders>
            <w:noWrap w:val="0"/>
            <w:tcMar>
              <w:top w:w="10" w:type="dxa"/>
              <w:left w:w="10" w:type="dxa"/>
              <w:right w:w="10" w:type="dxa"/>
            </w:tcMar>
            <w:vAlign w:val="center"/>
          </w:tcPr>
          <w:p w14:paraId="51AAA328">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效果</w:t>
            </w:r>
          </w:p>
        </w:tc>
        <w:tc>
          <w:tcPr>
            <w:tcW w:w="1246" w:type="pct"/>
            <w:tcBorders>
              <w:tl2br w:val="nil"/>
              <w:tr2bl w:val="nil"/>
            </w:tcBorders>
            <w:noWrap w:val="0"/>
            <w:tcMar>
              <w:top w:w="10" w:type="dxa"/>
              <w:left w:w="10" w:type="dxa"/>
              <w:right w:w="10" w:type="dxa"/>
            </w:tcMar>
            <w:vAlign w:val="center"/>
          </w:tcPr>
          <w:p w14:paraId="634701DA">
            <w:pPr>
              <w:autoSpaceDE w:val="0"/>
              <w:spacing w:line="24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20</w:t>
            </w:r>
          </w:p>
        </w:tc>
        <w:tc>
          <w:tcPr>
            <w:tcW w:w="1246" w:type="pct"/>
            <w:tcBorders>
              <w:tl2br w:val="nil"/>
              <w:tr2bl w:val="nil"/>
            </w:tcBorders>
            <w:noWrap w:val="0"/>
            <w:tcMar>
              <w:top w:w="10" w:type="dxa"/>
              <w:left w:w="10" w:type="dxa"/>
              <w:right w:w="10" w:type="dxa"/>
            </w:tcMar>
            <w:vAlign w:val="center"/>
          </w:tcPr>
          <w:p w14:paraId="4F6647C5">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15.69</w:t>
            </w:r>
          </w:p>
        </w:tc>
        <w:tc>
          <w:tcPr>
            <w:tcW w:w="1259" w:type="pct"/>
            <w:tcBorders>
              <w:tl2br w:val="nil"/>
              <w:tr2bl w:val="nil"/>
            </w:tcBorders>
            <w:noWrap w:val="0"/>
            <w:tcMar>
              <w:top w:w="10" w:type="dxa"/>
              <w:left w:w="10" w:type="dxa"/>
              <w:right w:w="10" w:type="dxa"/>
            </w:tcMar>
            <w:vAlign w:val="center"/>
          </w:tcPr>
          <w:p w14:paraId="71FF4F2C">
            <w:pPr>
              <w:autoSpaceDE w:val="0"/>
              <w:spacing w:line="240" w:lineRule="auto"/>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78.45%</w:t>
            </w:r>
          </w:p>
        </w:tc>
      </w:tr>
      <w:tr w14:paraId="6A5895F5">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86" w:hRule="atLeast"/>
          <w:tblHeader/>
          <w:jc w:val="center"/>
        </w:trPr>
        <w:tc>
          <w:tcPr>
            <w:tcW w:w="5000" w:type="pct"/>
            <w:gridSpan w:val="4"/>
            <w:tcBorders>
              <w:tl2br w:val="nil"/>
              <w:tr2bl w:val="nil"/>
            </w:tcBorders>
            <w:noWrap w:val="0"/>
            <w:tcMar>
              <w:top w:w="10" w:type="dxa"/>
              <w:left w:w="10" w:type="dxa"/>
              <w:right w:w="10" w:type="dxa"/>
            </w:tcMar>
            <w:vAlign w:val="center"/>
          </w:tcPr>
          <w:p w14:paraId="3801D57C">
            <w:pPr>
              <w:autoSpaceDE w:val="0"/>
              <w:spacing w:line="240" w:lineRule="auto"/>
              <w:ind w:firstLine="482"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bidi="ar"/>
              </w:rPr>
              <w:t>绩效评价得分：</w:t>
            </w:r>
            <w:r>
              <w:rPr>
                <w:rFonts w:hint="eastAsia" w:ascii="仿宋" w:hAnsi="仿宋" w:eastAsia="仿宋" w:cs="仿宋"/>
                <w:b/>
                <w:bCs/>
                <w:sz w:val="24"/>
                <w:szCs w:val="24"/>
                <w:highlight w:val="none"/>
                <w:lang w:val="en-US" w:eastAsia="zh-CN" w:bidi="ar"/>
              </w:rPr>
              <w:t>66</w:t>
            </w:r>
            <w:r>
              <w:rPr>
                <w:rFonts w:hint="eastAsia" w:ascii="仿宋" w:hAnsi="仿宋" w:eastAsia="仿宋" w:cs="仿宋"/>
                <w:b/>
                <w:bCs/>
                <w:sz w:val="24"/>
                <w:szCs w:val="24"/>
                <w:highlight w:val="none"/>
                <w:lang w:bidi="ar"/>
              </w:rPr>
              <w:t>.</w:t>
            </w:r>
            <w:r>
              <w:rPr>
                <w:rFonts w:hint="eastAsia" w:ascii="仿宋" w:hAnsi="仿宋" w:eastAsia="仿宋" w:cs="仿宋"/>
                <w:b/>
                <w:bCs/>
                <w:sz w:val="24"/>
                <w:szCs w:val="24"/>
                <w:highlight w:val="none"/>
                <w:lang w:val="en-US" w:eastAsia="zh-CN" w:bidi="ar"/>
              </w:rPr>
              <w:t xml:space="preserve">39         </w:t>
            </w:r>
            <w:r>
              <w:rPr>
                <w:rFonts w:hint="eastAsia" w:ascii="仿宋" w:hAnsi="仿宋" w:eastAsia="仿宋" w:cs="仿宋"/>
                <w:b/>
                <w:bCs/>
                <w:sz w:val="24"/>
                <w:szCs w:val="24"/>
                <w:highlight w:val="none"/>
                <w:lang w:bidi="ar"/>
              </w:rPr>
              <w:t>综合评价结果等级：</w:t>
            </w:r>
            <w:r>
              <w:rPr>
                <w:rFonts w:hint="eastAsia" w:ascii="仿宋" w:hAnsi="仿宋" w:eastAsia="仿宋" w:cs="仿宋"/>
                <w:b/>
                <w:bCs/>
                <w:sz w:val="24"/>
                <w:szCs w:val="24"/>
                <w:highlight w:val="none"/>
                <w:lang w:val="en-US" w:eastAsia="zh-CN" w:bidi="ar"/>
              </w:rPr>
              <w:t>中</w:t>
            </w:r>
          </w:p>
        </w:tc>
      </w:tr>
    </w:tbl>
    <w:p w14:paraId="51DDCD83">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0"/>
        <w:rPr>
          <w:rFonts w:hint="eastAsia" w:ascii="仿宋" w:hAnsi="仿宋" w:eastAsia="仿宋" w:cs="仿宋"/>
          <w:b/>
          <w:bCs/>
          <w:sz w:val="32"/>
          <w:szCs w:val="32"/>
          <w:highlight w:val="none"/>
        </w:rPr>
      </w:pPr>
      <w:bookmarkStart w:id="20" w:name="_Toc5384"/>
      <w:r>
        <w:rPr>
          <w:rFonts w:hint="eastAsia" w:ascii="仿宋" w:hAnsi="仿宋" w:eastAsia="仿宋" w:cs="仿宋"/>
          <w:b/>
          <w:bCs/>
          <w:sz w:val="32"/>
          <w:szCs w:val="32"/>
          <w:highlight w:val="none"/>
          <w:lang w:bidi="ar"/>
        </w:rPr>
        <w:t>四、绩效评价指标分析</w:t>
      </w:r>
      <w:bookmarkEnd w:id="20"/>
    </w:p>
    <w:p w14:paraId="7285DFFB">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1" w:name="_Toc1753"/>
      <w:r>
        <w:rPr>
          <w:rFonts w:hint="eastAsia" w:ascii="仿宋" w:hAnsi="仿宋" w:eastAsia="仿宋" w:cs="仿宋"/>
          <w:b/>
          <w:bCs/>
          <w:sz w:val="32"/>
          <w:szCs w:val="32"/>
          <w:highlight w:val="none"/>
          <w:lang w:bidi="ar"/>
        </w:rPr>
        <w:t>（一）项目投入情况</w:t>
      </w:r>
      <w:bookmarkEnd w:id="21"/>
    </w:p>
    <w:p w14:paraId="065C46CE">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从目标设定、预算配置两个方面进行评价，满分为15分，总得分</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分。</w:t>
      </w:r>
    </w:p>
    <w:p w14:paraId="5EEBCEF5">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表4-1</w:t>
      </w:r>
      <w:r>
        <w:rPr>
          <w:rFonts w:hint="eastAsia" w:ascii="仿宋" w:hAnsi="仿宋" w:eastAsia="仿宋" w:cs="仿宋"/>
          <w:b/>
          <w:bCs/>
          <w:color w:val="000000"/>
          <w:sz w:val="32"/>
          <w:szCs w:val="32"/>
          <w:highlight w:val="none"/>
          <w:lang w:bidi="ar"/>
        </w:rPr>
        <w:t>项目投入情况得分表</w:t>
      </w:r>
    </w:p>
    <w:tbl>
      <w:tblPr>
        <w:tblStyle w:val="10"/>
        <w:tblW w:w="8595" w:type="dxa"/>
        <w:tblInd w:w="96" w:type="dxa"/>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27"/>
        <w:gridCol w:w="1333"/>
        <w:gridCol w:w="3735"/>
        <w:gridCol w:w="810"/>
        <w:gridCol w:w="744"/>
      </w:tblGrid>
      <w:tr w14:paraId="36AC94E3">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tcBorders>
              <w:top w:val="single" w:color="auto" w:sz="8" w:space="0"/>
              <w:left w:val="nil"/>
              <w:bottom w:val="dotted" w:color="auto" w:sz="4" w:space="0"/>
              <w:right w:val="dotted" w:color="auto" w:sz="4" w:space="0"/>
            </w:tcBorders>
            <w:noWrap/>
            <w:vAlign w:val="center"/>
          </w:tcPr>
          <w:p w14:paraId="4DD8F0B7">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27" w:type="dxa"/>
            <w:tcBorders>
              <w:top w:val="single" w:color="auto" w:sz="8" w:space="0"/>
              <w:left w:val="dotted" w:color="auto" w:sz="4" w:space="0"/>
              <w:bottom w:val="dotted" w:color="auto" w:sz="4" w:space="0"/>
              <w:right w:val="dotted" w:color="auto" w:sz="4" w:space="0"/>
            </w:tcBorders>
            <w:noWrap/>
            <w:vAlign w:val="center"/>
          </w:tcPr>
          <w:p w14:paraId="562FD44D">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333" w:type="dxa"/>
            <w:tcBorders>
              <w:top w:val="single" w:color="auto" w:sz="8" w:space="0"/>
              <w:left w:val="dotted" w:color="auto" w:sz="4" w:space="0"/>
              <w:bottom w:val="dotted" w:color="auto" w:sz="4" w:space="0"/>
              <w:right w:val="dotted" w:color="auto" w:sz="4" w:space="0"/>
            </w:tcBorders>
            <w:noWrap/>
            <w:vAlign w:val="center"/>
          </w:tcPr>
          <w:p w14:paraId="1C103A4C">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3735" w:type="dxa"/>
            <w:tcBorders>
              <w:top w:val="single" w:color="auto" w:sz="8" w:space="0"/>
              <w:left w:val="dotted" w:color="auto" w:sz="4" w:space="0"/>
              <w:bottom w:val="dotted" w:color="auto" w:sz="4" w:space="0"/>
              <w:right w:val="dotted" w:color="auto" w:sz="4" w:space="0"/>
            </w:tcBorders>
            <w:noWrap/>
            <w:vAlign w:val="center"/>
          </w:tcPr>
          <w:p w14:paraId="1EC3BB77">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810" w:type="dxa"/>
            <w:tcBorders>
              <w:top w:val="single" w:color="auto" w:sz="8" w:space="0"/>
              <w:left w:val="dotted" w:color="auto" w:sz="4" w:space="0"/>
              <w:bottom w:val="dotted" w:color="auto" w:sz="4" w:space="0"/>
              <w:right w:val="dotted" w:color="auto" w:sz="4" w:space="0"/>
            </w:tcBorders>
            <w:noWrap/>
            <w:vAlign w:val="center"/>
          </w:tcPr>
          <w:p w14:paraId="5D954F00">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744" w:type="dxa"/>
            <w:tcBorders>
              <w:top w:val="single" w:color="auto" w:sz="8" w:space="0"/>
              <w:left w:val="dotted" w:color="auto" w:sz="4" w:space="0"/>
              <w:bottom w:val="dotted" w:color="auto" w:sz="4" w:space="0"/>
              <w:right w:val="nil"/>
            </w:tcBorders>
            <w:noWrap/>
            <w:vAlign w:val="center"/>
          </w:tcPr>
          <w:p w14:paraId="3D2B6711">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73DB858A">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restart"/>
            <w:tcBorders>
              <w:top w:val="dotted" w:color="auto" w:sz="4" w:space="0"/>
              <w:left w:val="nil"/>
              <w:bottom w:val="dotted" w:color="auto" w:sz="4" w:space="0"/>
              <w:right w:val="dotted" w:color="auto" w:sz="4" w:space="0"/>
            </w:tcBorders>
            <w:noWrap/>
            <w:vAlign w:val="center"/>
          </w:tcPr>
          <w:p w14:paraId="1AE3BF0B">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投入</w:t>
            </w:r>
          </w:p>
        </w:tc>
        <w:tc>
          <w:tcPr>
            <w:tcW w:w="727" w:type="dxa"/>
            <w:vMerge w:val="restart"/>
            <w:tcBorders>
              <w:top w:val="dotted" w:color="auto" w:sz="4" w:space="0"/>
              <w:left w:val="dotted" w:color="auto" w:sz="4" w:space="0"/>
              <w:bottom w:val="dotted" w:color="auto" w:sz="4" w:space="0"/>
              <w:right w:val="dotted" w:color="auto" w:sz="4" w:space="0"/>
            </w:tcBorders>
            <w:noWrap/>
            <w:vAlign w:val="center"/>
          </w:tcPr>
          <w:p w14:paraId="31D9ACAA">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15</w:t>
            </w:r>
          </w:p>
        </w:tc>
        <w:tc>
          <w:tcPr>
            <w:tcW w:w="1333" w:type="dxa"/>
            <w:vMerge w:val="restart"/>
            <w:tcBorders>
              <w:top w:val="dotted" w:color="auto" w:sz="4" w:space="0"/>
              <w:left w:val="dotted" w:color="auto" w:sz="4" w:space="0"/>
              <w:bottom w:val="dotted" w:color="auto" w:sz="4" w:space="0"/>
              <w:right w:val="dotted" w:color="auto" w:sz="4" w:space="0"/>
            </w:tcBorders>
            <w:noWrap w:val="0"/>
            <w:vAlign w:val="center"/>
          </w:tcPr>
          <w:p w14:paraId="2C9D8CF1">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目标设定</w:t>
            </w:r>
          </w:p>
        </w:tc>
        <w:tc>
          <w:tcPr>
            <w:tcW w:w="3735" w:type="dxa"/>
            <w:tcBorders>
              <w:top w:val="dotted" w:color="auto" w:sz="4" w:space="0"/>
              <w:left w:val="dotted" w:color="auto" w:sz="4" w:space="0"/>
              <w:bottom w:val="dotted" w:color="auto" w:sz="4" w:space="0"/>
              <w:right w:val="dotted" w:color="auto" w:sz="4" w:space="0"/>
            </w:tcBorders>
            <w:noWrap w:val="0"/>
            <w:vAlign w:val="center"/>
          </w:tcPr>
          <w:p w14:paraId="6A9FB4F4">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绩效目标合法合规合理性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1B2BC636">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040F6537">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12D48F36">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1246" w:type="dxa"/>
            <w:vMerge w:val="continue"/>
            <w:tcBorders>
              <w:top w:val="dotted" w:color="auto" w:sz="4" w:space="0"/>
              <w:left w:val="nil"/>
              <w:bottom w:val="dotted" w:color="auto" w:sz="4" w:space="0"/>
              <w:right w:val="dotted" w:color="auto" w:sz="4" w:space="0"/>
            </w:tcBorders>
            <w:noWrap/>
            <w:vAlign w:val="center"/>
          </w:tcPr>
          <w:p w14:paraId="4184C5C9">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44E19A8">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3928A1EF">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533EB778">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绩效目标与部门职责的相符性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1BD3A67C">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567866E4">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143FFDB6">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448B18EF">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489A741">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484E0D55">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39F5824F">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绩效指标清晰量化程度</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6421418C">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7F5D3E41">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r>
      <w:tr w14:paraId="57D18DEC">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0F5F23E2">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5B12CC4">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026400CE">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159E92BA">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绩效目标与年度任务对应性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26FC2386">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w:t>
            </w:r>
          </w:p>
        </w:tc>
        <w:tc>
          <w:tcPr>
            <w:tcW w:w="744" w:type="dxa"/>
            <w:tcBorders>
              <w:top w:val="dotted" w:color="auto" w:sz="4" w:space="0"/>
              <w:left w:val="dotted" w:color="auto" w:sz="4" w:space="0"/>
              <w:bottom w:val="dotted" w:color="auto" w:sz="4" w:space="0"/>
              <w:right w:val="nil"/>
            </w:tcBorders>
            <w:noWrap/>
            <w:vAlign w:val="center"/>
          </w:tcPr>
          <w:p w14:paraId="3C7EF586">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6E084446">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0688106F">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4A07C6B">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0"/>
            <w:vAlign w:val="center"/>
          </w:tcPr>
          <w:p w14:paraId="190200A7">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0"/>
            <w:vAlign w:val="center"/>
          </w:tcPr>
          <w:p w14:paraId="4011FF7C">
            <w:pPr>
              <w:widowControl/>
              <w:autoSpaceDE w:val="0"/>
              <w:spacing w:line="240" w:lineRule="auto"/>
              <w:jc w:val="center"/>
              <w:textAlignment w:val="center"/>
              <w:rPr>
                <w:rFonts w:hint="eastAsia" w:ascii="仿宋" w:hAnsi="仿宋" w:eastAsia="仿宋" w:cs="仿宋"/>
                <w:color w:val="000000"/>
                <w:sz w:val="24"/>
                <w:szCs w:val="24"/>
                <w:highlight w:val="none"/>
              </w:rPr>
            </w:pPr>
            <w:r>
              <w:rPr>
                <w:rStyle w:val="14"/>
                <w:rFonts w:hint="eastAsia" w:ascii="仿宋" w:hAnsi="仿宋" w:eastAsia="仿宋" w:cs="仿宋"/>
                <w:sz w:val="24"/>
                <w:szCs w:val="24"/>
                <w:highlight w:val="none"/>
                <w:lang w:bidi="ar"/>
              </w:rPr>
              <w:t>绩效目标与预算资金匹配性</w:t>
            </w:r>
          </w:p>
        </w:tc>
        <w:tc>
          <w:tcPr>
            <w:tcW w:w="810" w:type="dxa"/>
            <w:tcBorders>
              <w:top w:val="dotted" w:color="auto" w:sz="4" w:space="0"/>
              <w:left w:val="dotted" w:color="auto" w:sz="4" w:space="0"/>
              <w:bottom w:val="dotted" w:color="auto" w:sz="4" w:space="0"/>
              <w:right w:val="dotted" w:color="auto" w:sz="4" w:space="0"/>
            </w:tcBorders>
            <w:noWrap w:val="0"/>
            <w:vAlign w:val="center"/>
          </w:tcPr>
          <w:p w14:paraId="0F79D3F3">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2</w:t>
            </w:r>
          </w:p>
        </w:tc>
        <w:tc>
          <w:tcPr>
            <w:tcW w:w="744" w:type="dxa"/>
            <w:tcBorders>
              <w:top w:val="dotted" w:color="auto" w:sz="4" w:space="0"/>
              <w:left w:val="dotted" w:color="auto" w:sz="4" w:space="0"/>
              <w:bottom w:val="dotted" w:color="auto" w:sz="4" w:space="0"/>
              <w:right w:val="nil"/>
            </w:tcBorders>
            <w:noWrap/>
            <w:vAlign w:val="center"/>
          </w:tcPr>
          <w:p w14:paraId="4377D68B">
            <w:pPr>
              <w:widowControl/>
              <w:autoSpaceDE w:val="0"/>
              <w:spacing w:before="10"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r>
      <w:tr w14:paraId="7FB7A31D">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75C3DA64">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35ECDC9">
            <w:pPr>
              <w:rPr>
                <w:rFonts w:hint="eastAsia" w:ascii="仿宋" w:hAnsi="仿宋" w:eastAsia="仿宋" w:cs="仿宋"/>
                <w:sz w:val="24"/>
                <w:szCs w:val="24"/>
                <w:highlight w:val="none"/>
              </w:rPr>
            </w:pPr>
          </w:p>
        </w:tc>
        <w:tc>
          <w:tcPr>
            <w:tcW w:w="1333" w:type="dxa"/>
            <w:vMerge w:val="restart"/>
            <w:tcBorders>
              <w:top w:val="dotted" w:color="auto" w:sz="4" w:space="0"/>
              <w:left w:val="dotted" w:color="auto" w:sz="4" w:space="0"/>
              <w:bottom w:val="dotted" w:color="auto" w:sz="4" w:space="0"/>
              <w:right w:val="dotted" w:color="auto" w:sz="4" w:space="0"/>
            </w:tcBorders>
            <w:noWrap/>
            <w:vAlign w:val="center"/>
          </w:tcPr>
          <w:p w14:paraId="6EAA9A23">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预算配置</w:t>
            </w:r>
          </w:p>
          <w:p w14:paraId="07F30DBF">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49ADD052">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在职人员控制率</w:t>
            </w:r>
          </w:p>
        </w:tc>
        <w:tc>
          <w:tcPr>
            <w:tcW w:w="810" w:type="dxa"/>
            <w:tcBorders>
              <w:top w:val="dotted" w:color="auto" w:sz="4" w:space="0"/>
              <w:left w:val="dotted" w:color="auto" w:sz="4" w:space="0"/>
              <w:bottom w:val="dotted" w:color="auto" w:sz="4" w:space="0"/>
              <w:right w:val="dotted" w:color="auto" w:sz="4" w:space="0"/>
            </w:tcBorders>
            <w:noWrap/>
            <w:vAlign w:val="center"/>
          </w:tcPr>
          <w:p w14:paraId="5B9FBA0B">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71FDA02A">
            <w:pPr>
              <w:widowControl/>
              <w:autoSpaceDE w:val="0"/>
              <w:spacing w:before="10" w:line="240" w:lineRule="auto"/>
              <w:jc w:val="center"/>
              <w:textAlignment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r>
      <w:tr w14:paraId="0D60D0DD">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7CA017EA">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5950AFC2">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ign w:val="center"/>
          </w:tcPr>
          <w:p w14:paraId="6F0A935C">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3EF8C790">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“三公经费”变动率</w:t>
            </w:r>
          </w:p>
        </w:tc>
        <w:tc>
          <w:tcPr>
            <w:tcW w:w="810" w:type="dxa"/>
            <w:tcBorders>
              <w:top w:val="dotted" w:color="auto" w:sz="4" w:space="0"/>
              <w:left w:val="dotted" w:color="auto" w:sz="4" w:space="0"/>
              <w:bottom w:val="dotted" w:color="auto" w:sz="4" w:space="0"/>
              <w:right w:val="dotted" w:color="auto" w:sz="4" w:space="0"/>
            </w:tcBorders>
            <w:noWrap/>
            <w:vAlign w:val="center"/>
          </w:tcPr>
          <w:p w14:paraId="620D2D21">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2C9A4B3B">
            <w:pPr>
              <w:widowControl/>
              <w:autoSpaceDE w:val="0"/>
              <w:spacing w:before="10" w:line="240" w:lineRule="auto"/>
              <w:jc w:val="center"/>
              <w:textAlignment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r>
      <w:tr w14:paraId="1777FD2F">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7BE983A7">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2B8DA4C">
            <w:pPr>
              <w:rPr>
                <w:rFonts w:hint="eastAsia" w:ascii="仿宋" w:hAnsi="仿宋" w:eastAsia="仿宋" w:cs="仿宋"/>
                <w:sz w:val="24"/>
                <w:szCs w:val="24"/>
                <w:highlight w:val="none"/>
              </w:rPr>
            </w:pPr>
          </w:p>
        </w:tc>
        <w:tc>
          <w:tcPr>
            <w:tcW w:w="1333" w:type="dxa"/>
            <w:vMerge w:val="continue"/>
            <w:tcBorders>
              <w:top w:val="dotted" w:color="auto" w:sz="4" w:space="0"/>
              <w:left w:val="dotted" w:color="auto" w:sz="4" w:space="0"/>
              <w:bottom w:val="dotted" w:color="auto" w:sz="4" w:space="0"/>
              <w:right w:val="dotted" w:color="auto" w:sz="4" w:space="0"/>
            </w:tcBorders>
            <w:noWrap/>
            <w:vAlign w:val="center"/>
          </w:tcPr>
          <w:p w14:paraId="4F40F424">
            <w:pPr>
              <w:rPr>
                <w:rFonts w:hint="eastAsia" w:ascii="仿宋" w:hAnsi="仿宋" w:eastAsia="仿宋" w:cs="仿宋"/>
                <w:sz w:val="24"/>
                <w:szCs w:val="24"/>
                <w:highlight w:val="none"/>
              </w:rPr>
            </w:pPr>
          </w:p>
        </w:tc>
        <w:tc>
          <w:tcPr>
            <w:tcW w:w="3735" w:type="dxa"/>
            <w:tcBorders>
              <w:top w:val="dotted" w:color="auto" w:sz="4" w:space="0"/>
              <w:left w:val="dotted" w:color="auto" w:sz="4" w:space="0"/>
              <w:bottom w:val="dotted" w:color="auto" w:sz="4" w:space="0"/>
              <w:right w:val="dotted" w:color="auto" w:sz="4" w:space="0"/>
            </w:tcBorders>
            <w:noWrap/>
            <w:vAlign w:val="center"/>
          </w:tcPr>
          <w:p w14:paraId="4E897E9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Style w:val="15"/>
                <w:rFonts w:hint="eastAsia" w:ascii="仿宋" w:hAnsi="仿宋" w:eastAsia="仿宋" w:cs="仿宋"/>
                <w:sz w:val="24"/>
                <w:szCs w:val="24"/>
                <w:highlight w:val="none"/>
                <w:lang w:bidi="ar"/>
              </w:rPr>
              <w:t>重点支出安排率</w:t>
            </w:r>
          </w:p>
        </w:tc>
        <w:tc>
          <w:tcPr>
            <w:tcW w:w="810" w:type="dxa"/>
            <w:tcBorders>
              <w:top w:val="dotted" w:color="auto" w:sz="4" w:space="0"/>
              <w:left w:val="dotted" w:color="auto" w:sz="4" w:space="0"/>
              <w:bottom w:val="dotted" w:color="auto" w:sz="4" w:space="0"/>
              <w:right w:val="dotted" w:color="auto" w:sz="4" w:space="0"/>
            </w:tcBorders>
            <w:noWrap/>
            <w:vAlign w:val="center"/>
          </w:tcPr>
          <w:p w14:paraId="5BA827DA">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744" w:type="dxa"/>
            <w:tcBorders>
              <w:top w:val="dotted" w:color="auto" w:sz="4" w:space="0"/>
              <w:left w:val="dotted" w:color="auto" w:sz="4" w:space="0"/>
              <w:bottom w:val="dotted" w:color="auto" w:sz="4" w:space="0"/>
              <w:right w:val="nil"/>
            </w:tcBorders>
            <w:noWrap/>
            <w:vAlign w:val="center"/>
          </w:tcPr>
          <w:p w14:paraId="69647233">
            <w:pPr>
              <w:widowControl/>
              <w:autoSpaceDE w:val="0"/>
              <w:spacing w:before="10" w:line="240" w:lineRule="auto"/>
              <w:jc w:val="center"/>
              <w:textAlignment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r>
      <w:tr w14:paraId="142FF258">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02F739F5">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000B114">
            <w:pPr>
              <w:rPr>
                <w:rFonts w:hint="eastAsia" w:ascii="仿宋" w:hAnsi="仿宋" w:eastAsia="仿宋" w:cs="仿宋"/>
                <w:sz w:val="24"/>
                <w:szCs w:val="24"/>
                <w:highlight w:val="none"/>
              </w:rPr>
            </w:pPr>
          </w:p>
        </w:tc>
        <w:tc>
          <w:tcPr>
            <w:tcW w:w="5068" w:type="dxa"/>
            <w:gridSpan w:val="2"/>
            <w:tcBorders>
              <w:top w:val="dotted" w:color="auto" w:sz="4" w:space="0"/>
              <w:left w:val="dotted" w:color="auto" w:sz="4" w:space="0"/>
              <w:bottom w:val="single" w:color="auto" w:sz="8" w:space="0"/>
              <w:right w:val="dotted" w:color="auto" w:sz="4" w:space="0"/>
            </w:tcBorders>
            <w:noWrap/>
            <w:vAlign w:val="center"/>
          </w:tcPr>
          <w:p w14:paraId="07F930CB">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bidi="ar"/>
              </w:rPr>
              <w:t>合计</w:t>
            </w:r>
          </w:p>
        </w:tc>
        <w:tc>
          <w:tcPr>
            <w:tcW w:w="810" w:type="dxa"/>
            <w:tcBorders>
              <w:top w:val="dotted" w:color="auto" w:sz="4" w:space="0"/>
              <w:left w:val="dotted" w:color="auto" w:sz="4" w:space="0"/>
              <w:bottom w:val="single" w:color="auto" w:sz="8" w:space="0"/>
              <w:right w:val="dotted" w:color="auto" w:sz="4" w:space="0"/>
            </w:tcBorders>
            <w:noWrap/>
            <w:vAlign w:val="center"/>
          </w:tcPr>
          <w:p w14:paraId="36913656">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bidi="ar"/>
              </w:rPr>
              <w:t>15</w:t>
            </w:r>
          </w:p>
        </w:tc>
        <w:tc>
          <w:tcPr>
            <w:tcW w:w="744" w:type="dxa"/>
            <w:tcBorders>
              <w:top w:val="dotted" w:color="auto" w:sz="4" w:space="0"/>
              <w:left w:val="dotted" w:color="auto" w:sz="4" w:space="0"/>
              <w:bottom w:val="single" w:color="auto" w:sz="8" w:space="0"/>
              <w:right w:val="nil"/>
            </w:tcBorders>
            <w:noWrap/>
            <w:vAlign w:val="center"/>
          </w:tcPr>
          <w:p w14:paraId="5C0514D5">
            <w:pPr>
              <w:widowControl/>
              <w:autoSpaceDE w:val="0"/>
              <w:spacing w:before="10" w:line="240" w:lineRule="auto"/>
              <w:jc w:val="center"/>
              <w:textAlignment w:val="center"/>
              <w:rPr>
                <w:rFonts w:hint="eastAsia" w:ascii="仿宋" w:hAnsi="仿宋" w:eastAsia="仿宋" w:cs="仿宋"/>
                <w:bCs/>
                <w:sz w:val="24"/>
                <w:szCs w:val="24"/>
                <w:highlight w:val="none"/>
                <w:lang w:val="en-US" w:eastAsia="zh-CN"/>
              </w:rPr>
            </w:pPr>
            <w:r>
              <w:rPr>
                <w:rFonts w:hint="eastAsia" w:ascii="仿宋" w:hAnsi="仿宋" w:eastAsia="仿宋" w:cs="仿宋"/>
                <w:b/>
                <w:bCs w:val="0"/>
                <w:sz w:val="24"/>
                <w:szCs w:val="24"/>
                <w:highlight w:val="none"/>
                <w:lang w:val="en-US" w:eastAsia="zh-CN"/>
              </w:rPr>
              <w:t>9</w:t>
            </w:r>
          </w:p>
        </w:tc>
      </w:tr>
    </w:tbl>
    <w:p w14:paraId="182ABCC3">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Style w:val="14"/>
          <w:rFonts w:hint="eastAsia" w:ascii="仿宋" w:hAnsi="仿宋" w:eastAsia="仿宋" w:cs="仿宋"/>
          <w:b/>
          <w:bCs/>
          <w:sz w:val="32"/>
          <w:szCs w:val="32"/>
          <w:highlight w:val="none"/>
          <w:lang w:bidi="ar"/>
        </w:rPr>
        <w:t>1.目标设定情况</w:t>
      </w:r>
    </w:p>
    <w:p w14:paraId="4DAA77D8">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（1）绩效目标合法合规合理性</w:t>
      </w:r>
    </w:p>
    <w:p w14:paraId="587C7BBC">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市应急管理局设立的整体支出绩效目标依据充分，符合客观实际、符合国家法律法规、国民经济和社会发展总体规划。本项满分1分，实际得分1分。</w:t>
      </w:r>
    </w:p>
    <w:p w14:paraId="0FCEF6C4">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（2）绩效目标与部门职责的相符性</w:t>
      </w:r>
    </w:p>
    <w:p w14:paraId="0D6557E9">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市应急管理局</w:t>
      </w:r>
      <w:r>
        <w:rPr>
          <w:rStyle w:val="16"/>
          <w:rFonts w:hint="eastAsia" w:ascii="仿宋" w:hAnsi="仿宋" w:eastAsia="仿宋" w:cs="仿宋"/>
          <w:sz w:val="32"/>
          <w:szCs w:val="32"/>
          <w:highlight w:val="none"/>
          <w:lang w:bidi="ar"/>
        </w:rPr>
        <w:t>的绩效目标符合部门“三定”方案确定的职责</w:t>
      </w:r>
      <w:r>
        <w:rPr>
          <w:rStyle w:val="16"/>
          <w:rFonts w:hint="eastAsia" w:ascii="仿宋" w:hAnsi="仿宋" w:eastAsia="仿宋" w:cs="仿宋"/>
          <w:sz w:val="32"/>
          <w:szCs w:val="32"/>
          <w:highlight w:val="none"/>
          <w:lang w:val="en-US" w:eastAsia="zh-CN" w:bidi="ar"/>
        </w:rPr>
        <w:t>相符</w:t>
      </w:r>
      <w:r>
        <w:rPr>
          <w:rStyle w:val="16"/>
          <w:rFonts w:hint="eastAsia" w:ascii="仿宋" w:hAnsi="仿宋" w:eastAsia="仿宋" w:cs="仿宋"/>
          <w:sz w:val="32"/>
          <w:szCs w:val="32"/>
          <w:highlight w:val="none"/>
          <w:lang w:bidi="ar"/>
        </w:rPr>
        <w:t>。</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39E26259">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（3）绩效指标清晰量化程度</w:t>
      </w:r>
    </w:p>
    <w:p w14:paraId="0E7F6A00">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市应急管理局设置的</w:t>
      </w:r>
      <w:r>
        <w:rPr>
          <w:rFonts w:hint="eastAsia" w:ascii="仿宋" w:hAnsi="仿宋" w:eastAsia="仿宋" w:cs="仿宋"/>
          <w:color w:val="000000"/>
          <w:kern w:val="2"/>
          <w:sz w:val="32"/>
          <w:szCs w:val="32"/>
          <w:lang w:val="en-US" w:eastAsia="zh-CN" w:bidi="ar-SA"/>
        </w:rPr>
        <w:t>绩效目标基本具体细化为可量化评估的指标；绩效目标清晰可衡量</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31ADE57E">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（4）绩效目标与年度任务对应性</w:t>
      </w:r>
    </w:p>
    <w:p w14:paraId="40418728">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Style w:val="14"/>
          <w:rFonts w:hint="eastAsia" w:ascii="仿宋" w:hAnsi="仿宋" w:eastAsia="仿宋" w:cs="仿宋"/>
          <w:color w:val="000000"/>
          <w:sz w:val="32"/>
          <w:szCs w:val="32"/>
          <w:lang w:val="en-US" w:eastAsia="zh-CN" w:bidi="ar"/>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color w:val="auto"/>
          <w:kern w:val="2"/>
          <w:sz w:val="32"/>
          <w:szCs w:val="32"/>
          <w:lang w:val="en-US" w:eastAsia="zh-CN" w:bidi="ar"/>
        </w:rPr>
        <w:t>设置的绩效目标与年度的任务数或计划数相对应。</w:t>
      </w:r>
      <w:r>
        <w:rPr>
          <w:rFonts w:hint="eastAsia" w:ascii="仿宋" w:hAnsi="仿宋" w:eastAsia="仿宋" w:cs="仿宋"/>
          <w:kern w:val="2"/>
          <w:sz w:val="32"/>
          <w:szCs w:val="32"/>
          <w:lang w:val="en-US" w:eastAsia="zh-CN" w:bidi="ar"/>
        </w:rPr>
        <w:t>本项满分1分</w:t>
      </w:r>
      <w:r>
        <w:rPr>
          <w:rStyle w:val="16"/>
          <w:rFonts w:hint="eastAsia" w:ascii="仿宋" w:hAnsi="仿宋" w:eastAsia="仿宋" w:cs="仿宋"/>
          <w:sz w:val="32"/>
          <w:szCs w:val="32"/>
          <w:highlight w:val="none"/>
          <w:lang w:val="en-US" w:eastAsia="zh-CN" w:bidi="ar"/>
        </w:rPr>
        <w:t>，实际得分1分。</w:t>
      </w:r>
    </w:p>
    <w:p w14:paraId="3E6F6EB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（5）绩效目标与预算资金匹配性</w:t>
      </w:r>
    </w:p>
    <w:p w14:paraId="52FF8EFF">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Style w:val="16"/>
          <w:rFonts w:hint="eastAsia" w:ascii="仿宋" w:hAnsi="仿宋" w:eastAsia="仿宋" w:cs="仿宋"/>
          <w:sz w:val="32"/>
          <w:szCs w:val="32"/>
          <w:highlight w:val="none"/>
          <w:lang w:eastAsia="zh-CN" w:bidi="ar"/>
        </w:rPr>
        <w:t>绩效目标表</w:t>
      </w:r>
      <w:r>
        <w:rPr>
          <w:rStyle w:val="16"/>
          <w:rFonts w:hint="eastAsia" w:ascii="仿宋" w:hAnsi="仿宋" w:eastAsia="仿宋" w:cs="仿宋"/>
          <w:sz w:val="32"/>
          <w:szCs w:val="32"/>
          <w:highlight w:val="none"/>
          <w:lang w:val="en-US" w:eastAsia="zh-CN" w:bidi="ar"/>
        </w:rPr>
        <w:t>中</w:t>
      </w:r>
      <w:r>
        <w:rPr>
          <w:rStyle w:val="16"/>
          <w:rFonts w:hint="eastAsia" w:ascii="仿宋" w:hAnsi="仿宋" w:eastAsia="仿宋" w:cs="仿宋"/>
          <w:sz w:val="32"/>
          <w:szCs w:val="32"/>
          <w:highlight w:val="none"/>
          <w:lang w:eastAsia="zh-CN" w:bidi="ar"/>
        </w:rPr>
        <w:t>年度资金总额</w:t>
      </w:r>
      <w:r>
        <w:rPr>
          <w:rStyle w:val="16"/>
          <w:rFonts w:hint="eastAsia" w:ascii="仿宋" w:hAnsi="仿宋" w:eastAsia="仿宋" w:cs="仿宋"/>
          <w:sz w:val="32"/>
          <w:szCs w:val="32"/>
          <w:highlight w:val="none"/>
          <w:lang w:val="en-US" w:eastAsia="zh-CN" w:bidi="ar"/>
        </w:rPr>
        <w:t>为</w:t>
      </w:r>
      <w:r>
        <w:rPr>
          <w:rFonts w:hint="eastAsia" w:ascii="仿宋" w:hAnsi="仿宋" w:eastAsia="仿宋" w:cs="仿宋"/>
          <w:sz w:val="32"/>
          <w:szCs w:val="32"/>
          <w:highlight w:val="none"/>
          <w:lang w:val="en-US" w:eastAsia="zh-CN"/>
        </w:rPr>
        <w:t>1,725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19万</w:t>
      </w:r>
      <w:r>
        <w:rPr>
          <w:rStyle w:val="16"/>
          <w:rFonts w:hint="eastAsia" w:ascii="仿宋" w:hAnsi="仿宋" w:eastAsia="仿宋" w:cs="仿宋"/>
          <w:sz w:val="32"/>
          <w:szCs w:val="32"/>
          <w:highlight w:val="none"/>
          <w:lang w:eastAsia="zh-CN" w:bidi="ar"/>
        </w:rPr>
        <w:t>元，根据林芝市财政局下达的《关于</w:t>
      </w:r>
      <w:r>
        <w:rPr>
          <w:rStyle w:val="16"/>
          <w:rFonts w:hint="eastAsia" w:ascii="仿宋" w:hAnsi="仿宋" w:eastAsia="仿宋" w:cs="仿宋"/>
          <w:sz w:val="32"/>
          <w:szCs w:val="32"/>
          <w:highlight w:val="none"/>
          <w:lang w:val="en-US" w:eastAsia="zh-CN" w:bidi="ar"/>
        </w:rPr>
        <w:t>下达2023年新增人员及工资附加各类经费预算支出</w:t>
      </w:r>
      <w:r>
        <w:rPr>
          <w:rStyle w:val="16"/>
          <w:rFonts w:hint="eastAsia" w:ascii="仿宋" w:hAnsi="仿宋" w:eastAsia="仿宋" w:cs="仿宋"/>
          <w:sz w:val="32"/>
          <w:szCs w:val="32"/>
          <w:highlight w:val="none"/>
          <w:lang w:eastAsia="zh-CN" w:bidi="ar"/>
        </w:rPr>
        <w:t>指标的通知》林财</w:t>
      </w:r>
      <w:r>
        <w:rPr>
          <w:rStyle w:val="16"/>
          <w:rFonts w:hint="eastAsia" w:ascii="仿宋" w:hAnsi="仿宋" w:eastAsia="仿宋" w:cs="仿宋"/>
          <w:sz w:val="32"/>
          <w:szCs w:val="32"/>
          <w:highlight w:val="none"/>
          <w:lang w:val="en-US" w:eastAsia="zh-CN" w:bidi="ar"/>
        </w:rPr>
        <w:t>行</w:t>
      </w:r>
      <w:r>
        <w:rPr>
          <w:rStyle w:val="16"/>
          <w:rFonts w:hint="eastAsia" w:ascii="仿宋" w:hAnsi="仿宋" w:eastAsia="仿宋" w:cs="仿宋"/>
          <w:sz w:val="32"/>
          <w:szCs w:val="32"/>
          <w:highlight w:val="none"/>
          <w:lang w:eastAsia="zh-CN" w:bidi="ar"/>
        </w:rPr>
        <w:t>指〔20</w:t>
      </w:r>
      <w:r>
        <w:rPr>
          <w:rStyle w:val="16"/>
          <w:rFonts w:hint="eastAsia" w:ascii="仿宋" w:hAnsi="仿宋" w:eastAsia="仿宋" w:cs="仿宋"/>
          <w:sz w:val="32"/>
          <w:szCs w:val="32"/>
          <w:highlight w:val="none"/>
          <w:lang w:val="en-US" w:eastAsia="zh-CN" w:bidi="ar"/>
        </w:rPr>
        <w:t>23</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val="en-US" w:eastAsia="zh-CN" w:bidi="ar"/>
        </w:rPr>
        <w:t>75</w:t>
      </w:r>
      <w:r>
        <w:rPr>
          <w:rStyle w:val="16"/>
          <w:rFonts w:hint="eastAsia" w:ascii="仿宋" w:hAnsi="仿宋" w:eastAsia="仿宋" w:cs="仿宋"/>
          <w:sz w:val="32"/>
          <w:szCs w:val="32"/>
          <w:highlight w:val="none"/>
          <w:lang w:eastAsia="zh-CN" w:bidi="ar"/>
        </w:rPr>
        <w:t>号</w:t>
      </w:r>
      <w:r>
        <w:rPr>
          <w:rStyle w:val="16"/>
          <w:rFonts w:hint="eastAsia" w:ascii="仿宋" w:hAnsi="仿宋" w:eastAsia="仿宋" w:cs="仿宋"/>
          <w:sz w:val="32"/>
          <w:szCs w:val="32"/>
          <w:highlight w:val="none"/>
          <w:lang w:val="en-US" w:eastAsia="zh-CN" w:bidi="ar"/>
        </w:rPr>
        <w:t>文</w:t>
      </w:r>
      <w:r>
        <w:rPr>
          <w:rStyle w:val="16"/>
          <w:rFonts w:hint="eastAsia" w:ascii="仿宋" w:hAnsi="仿宋" w:eastAsia="仿宋" w:cs="仿宋"/>
          <w:sz w:val="32"/>
          <w:szCs w:val="32"/>
          <w:highlight w:val="none"/>
          <w:lang w:eastAsia="zh-CN" w:bidi="ar"/>
        </w:rPr>
        <w:t>、《关于</w:t>
      </w:r>
      <w:r>
        <w:rPr>
          <w:rStyle w:val="16"/>
          <w:rFonts w:hint="eastAsia" w:ascii="仿宋" w:hAnsi="仿宋" w:eastAsia="仿宋" w:cs="仿宋"/>
          <w:sz w:val="32"/>
          <w:szCs w:val="32"/>
          <w:highlight w:val="none"/>
          <w:lang w:val="en-US" w:eastAsia="zh-CN" w:bidi="ar"/>
        </w:rPr>
        <w:t>下达“1.17”雪崩灾害抢险救援补助资金</w:t>
      </w:r>
      <w:r>
        <w:rPr>
          <w:rStyle w:val="16"/>
          <w:rFonts w:hint="eastAsia" w:ascii="仿宋" w:hAnsi="仿宋" w:eastAsia="仿宋" w:cs="仿宋"/>
          <w:sz w:val="32"/>
          <w:szCs w:val="32"/>
          <w:highlight w:val="none"/>
          <w:lang w:eastAsia="zh-CN" w:bidi="ar"/>
        </w:rPr>
        <w:t>预算指标的通知》林财</w:t>
      </w:r>
      <w:r>
        <w:rPr>
          <w:rStyle w:val="16"/>
          <w:rFonts w:hint="eastAsia" w:ascii="仿宋" w:hAnsi="仿宋" w:eastAsia="仿宋" w:cs="仿宋"/>
          <w:sz w:val="32"/>
          <w:szCs w:val="32"/>
          <w:highlight w:val="none"/>
          <w:lang w:val="en-US" w:eastAsia="zh-CN" w:bidi="ar"/>
        </w:rPr>
        <w:t>行</w:t>
      </w:r>
      <w:r>
        <w:rPr>
          <w:rStyle w:val="16"/>
          <w:rFonts w:hint="eastAsia" w:ascii="仿宋" w:hAnsi="仿宋" w:eastAsia="仿宋" w:cs="仿宋"/>
          <w:sz w:val="32"/>
          <w:szCs w:val="32"/>
          <w:highlight w:val="none"/>
          <w:lang w:eastAsia="zh-CN" w:bidi="ar"/>
        </w:rPr>
        <w:t>指〔2023〕</w:t>
      </w:r>
      <w:r>
        <w:rPr>
          <w:rStyle w:val="16"/>
          <w:rFonts w:hint="eastAsia" w:ascii="仿宋" w:hAnsi="仿宋" w:eastAsia="仿宋" w:cs="仿宋"/>
          <w:sz w:val="32"/>
          <w:szCs w:val="32"/>
          <w:highlight w:val="none"/>
          <w:lang w:val="en-US" w:eastAsia="zh-CN" w:bidi="ar"/>
        </w:rPr>
        <w:t>109</w:t>
      </w:r>
      <w:r>
        <w:rPr>
          <w:rStyle w:val="16"/>
          <w:rFonts w:hint="eastAsia" w:ascii="仿宋" w:hAnsi="仿宋" w:eastAsia="仿宋" w:cs="仿宋"/>
          <w:sz w:val="32"/>
          <w:szCs w:val="32"/>
          <w:highlight w:val="none"/>
          <w:lang w:eastAsia="zh-CN" w:bidi="ar"/>
        </w:rPr>
        <w:t>号</w:t>
      </w:r>
      <w:r>
        <w:rPr>
          <w:rStyle w:val="16"/>
          <w:rFonts w:hint="eastAsia" w:ascii="仿宋" w:hAnsi="仿宋" w:eastAsia="仿宋" w:cs="仿宋"/>
          <w:sz w:val="32"/>
          <w:szCs w:val="32"/>
          <w:highlight w:val="none"/>
          <w:lang w:val="en-US" w:eastAsia="zh-CN" w:bidi="ar"/>
        </w:rPr>
        <w:t>文等</w:t>
      </w:r>
      <w:r>
        <w:rPr>
          <w:rStyle w:val="16"/>
          <w:rFonts w:hint="eastAsia" w:ascii="仿宋" w:hAnsi="仿宋" w:eastAsia="仿宋" w:cs="仿宋"/>
          <w:sz w:val="32"/>
          <w:szCs w:val="32"/>
          <w:highlight w:val="none"/>
          <w:lang w:eastAsia="zh-CN" w:bidi="ar"/>
        </w:rPr>
        <w:t>，综合调</w:t>
      </w:r>
      <w:r>
        <w:rPr>
          <w:rStyle w:val="16"/>
          <w:rFonts w:hint="eastAsia" w:ascii="仿宋" w:hAnsi="仿宋" w:eastAsia="仿宋" w:cs="仿宋"/>
          <w:sz w:val="32"/>
          <w:szCs w:val="32"/>
          <w:highlight w:val="none"/>
          <w:lang w:val="en-US" w:eastAsia="zh-CN" w:bidi="ar"/>
        </w:rPr>
        <w:t>增</w:t>
      </w:r>
      <w:r>
        <w:rPr>
          <w:rFonts w:hint="eastAsia" w:ascii="仿宋" w:hAnsi="仿宋" w:eastAsia="仿宋" w:cs="仿宋"/>
          <w:sz w:val="32"/>
          <w:szCs w:val="32"/>
          <w:highlight w:val="none"/>
          <w:lang w:val="en-US" w:eastAsia="zh-CN"/>
        </w:rPr>
        <w:t>8,042.08万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w:t>
      </w:r>
      <w:r>
        <w:rPr>
          <w:rStyle w:val="16"/>
          <w:rFonts w:hint="eastAsia" w:ascii="仿宋" w:hAnsi="仿宋" w:eastAsia="仿宋" w:cs="仿宋"/>
          <w:sz w:val="32"/>
          <w:szCs w:val="32"/>
          <w:highlight w:val="none"/>
          <w:lang w:eastAsia="zh-CN" w:bidi="ar"/>
        </w:rPr>
        <w:t>本年度调剂后部门预算资金总额</w:t>
      </w:r>
      <w:r>
        <w:rPr>
          <w:rFonts w:hint="eastAsia" w:ascii="仿宋" w:hAnsi="仿宋" w:eastAsia="仿宋" w:cs="仿宋"/>
          <w:sz w:val="32"/>
          <w:szCs w:val="32"/>
          <w:highlight w:val="none"/>
          <w:lang w:val="en-US" w:eastAsia="zh-CN"/>
        </w:rPr>
        <w:t>9,855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56万</w:t>
      </w:r>
      <w:r>
        <w:rPr>
          <w:rStyle w:val="16"/>
          <w:rFonts w:hint="eastAsia" w:ascii="仿宋" w:hAnsi="仿宋" w:eastAsia="仿宋" w:cs="仿宋"/>
          <w:sz w:val="32"/>
          <w:szCs w:val="32"/>
          <w:highlight w:val="none"/>
          <w:lang w:eastAsia="zh-CN" w:bidi="ar"/>
        </w:rPr>
        <w:t>元。绩效目标与预算资金相匹配，</w:t>
      </w:r>
      <w:r>
        <w:rPr>
          <w:rStyle w:val="16"/>
          <w:rFonts w:hint="eastAsia" w:ascii="仿宋" w:hAnsi="仿宋" w:eastAsia="仿宋" w:cs="仿宋"/>
          <w:sz w:val="32"/>
          <w:szCs w:val="32"/>
          <w:highlight w:val="none"/>
          <w:lang w:val="en-US" w:eastAsia="zh-CN" w:bidi="ar"/>
        </w:rPr>
        <w:t>本项</w:t>
      </w:r>
      <w:r>
        <w:rPr>
          <w:rStyle w:val="16"/>
          <w:rFonts w:hint="eastAsia" w:ascii="仿宋" w:hAnsi="仿宋" w:eastAsia="仿宋" w:cs="仿宋"/>
          <w:sz w:val="32"/>
          <w:szCs w:val="32"/>
          <w:highlight w:val="none"/>
          <w:lang w:eastAsia="zh-CN" w:bidi="ar"/>
        </w:rPr>
        <w:t>满分2分，实际得分2分。</w:t>
      </w:r>
    </w:p>
    <w:p w14:paraId="6F99AD14">
      <w:pPr>
        <w:pStyle w:val="9"/>
        <w:autoSpaceDE w:val="0"/>
        <w:spacing w:line="360" w:lineRule="auto"/>
        <w:ind w:firstLine="643" w:firstLineChars="200"/>
        <w:rPr>
          <w:rFonts w:hint="eastAsia" w:ascii="仿宋" w:hAnsi="仿宋" w:eastAsia="仿宋" w:cs="仿宋"/>
          <w:b/>
          <w:bCs/>
          <w:sz w:val="32"/>
          <w:szCs w:val="32"/>
          <w:highlight w:val="none"/>
        </w:rPr>
      </w:pPr>
      <w:r>
        <w:rPr>
          <w:rStyle w:val="14"/>
          <w:rFonts w:hint="eastAsia" w:ascii="仿宋" w:hAnsi="仿宋" w:eastAsia="仿宋" w:cs="仿宋"/>
          <w:b/>
          <w:bCs/>
          <w:sz w:val="32"/>
          <w:szCs w:val="32"/>
          <w:highlight w:val="none"/>
          <w:lang w:bidi="ar"/>
        </w:rPr>
        <w:t>2.预算配置情况</w:t>
      </w:r>
    </w:p>
    <w:p w14:paraId="4975EC49">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5"/>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（1</w:t>
      </w:r>
      <w:r>
        <w:rPr>
          <w:rStyle w:val="14"/>
          <w:rFonts w:hint="eastAsia" w:ascii="仿宋" w:hAnsi="仿宋" w:eastAsia="仿宋" w:cs="仿宋"/>
          <w:sz w:val="32"/>
          <w:szCs w:val="32"/>
          <w:highlight w:val="none"/>
          <w:lang w:eastAsia="zh-CN" w:bidi="ar"/>
        </w:rPr>
        <w:t>）</w:t>
      </w:r>
      <w:r>
        <w:rPr>
          <w:rStyle w:val="15"/>
          <w:rFonts w:hint="eastAsia" w:ascii="仿宋" w:hAnsi="仿宋" w:eastAsia="仿宋" w:cs="仿宋"/>
          <w:sz w:val="32"/>
          <w:szCs w:val="32"/>
          <w:highlight w:val="none"/>
          <w:lang w:bidi="ar"/>
        </w:rPr>
        <w:t>在职人员控制率</w:t>
      </w:r>
    </w:p>
    <w:p w14:paraId="74960870">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left="0" w:right="0" w:rightChars="0" w:firstLine="640" w:firstLineChars="200"/>
        <w:jc w:val="left"/>
        <w:rPr>
          <w:rStyle w:val="15"/>
          <w:rFonts w:hint="eastAsia" w:ascii="仿宋" w:hAnsi="仿宋" w:eastAsia="仿宋" w:cs="仿宋"/>
          <w:color w:val="000000"/>
          <w:sz w:val="32"/>
          <w:szCs w:val="32"/>
          <w:lang w:val="en-US" w:eastAsia="zh-CN" w:bidi="ar"/>
        </w:rPr>
      </w:pPr>
      <w:r>
        <w:rPr>
          <w:rFonts w:hint="eastAsia" w:ascii="仿宋" w:hAnsi="仿宋" w:eastAsia="仿宋" w:cs="仿宋"/>
          <w:kern w:val="2"/>
          <w:sz w:val="32"/>
          <w:szCs w:val="32"/>
          <w:lang w:val="en-US" w:eastAsia="zh-CN" w:bidi="ar"/>
        </w:rPr>
        <w:t>市应急管理局</w:t>
      </w:r>
      <w:r>
        <w:rPr>
          <w:rStyle w:val="15"/>
          <w:rFonts w:hint="eastAsia" w:ascii="仿宋" w:hAnsi="仿宋" w:eastAsia="仿宋" w:cs="仿宋"/>
          <w:color w:val="000000"/>
          <w:sz w:val="32"/>
          <w:szCs w:val="32"/>
          <w:lang w:val="en-US" w:eastAsia="zh-CN" w:bidi="ar"/>
        </w:rPr>
        <w:t>2023年在职人员39人，核定编制24名，在职人员控制率为162.50%。本项满分3分，扣3分，实际得分0分。</w:t>
      </w:r>
    </w:p>
    <w:p w14:paraId="2523F03B">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（2）“三公经费”变动率</w:t>
      </w:r>
    </w:p>
    <w:p w14:paraId="64172168">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kern w:val="2"/>
          <w:sz w:val="32"/>
          <w:szCs w:val="32"/>
          <w:lang w:val="en-US" w:eastAsia="zh-CN" w:bidi="ar"/>
        </w:rPr>
        <w:t>市应急管理局</w:t>
      </w:r>
      <w:r>
        <w:rPr>
          <w:rStyle w:val="14"/>
          <w:rFonts w:hint="eastAsia" w:ascii="仿宋" w:hAnsi="仿宋" w:eastAsia="仿宋" w:cs="仿宋"/>
          <w:color w:val="000000"/>
          <w:sz w:val="32"/>
          <w:szCs w:val="32"/>
          <w:lang w:val="en-US" w:eastAsia="zh-CN" w:bidi="ar"/>
        </w:rPr>
        <w:t>2023年三公经费预算数为53.34万元，2022年三公经费预算数为43.95万元，三公经费变动率为21.37%,本项满分3分，扣3分，实际得分0分。</w:t>
      </w:r>
    </w:p>
    <w:p w14:paraId="3D3D0FB1">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Style w:val="14"/>
          <w:rFonts w:hint="eastAsia" w:ascii="仿宋" w:hAnsi="仿宋" w:eastAsia="仿宋" w:cs="仿宋"/>
          <w:sz w:val="32"/>
          <w:szCs w:val="32"/>
          <w:highlight w:val="none"/>
          <w:lang w:bidi="ar"/>
        </w:rPr>
      </w:pPr>
      <w:r>
        <w:rPr>
          <w:rStyle w:val="14"/>
          <w:rFonts w:hint="eastAsia" w:ascii="仿宋" w:hAnsi="仿宋" w:eastAsia="仿宋" w:cs="仿宋"/>
          <w:sz w:val="32"/>
          <w:szCs w:val="32"/>
          <w:highlight w:val="none"/>
          <w:lang w:bidi="ar"/>
        </w:rPr>
        <w:t>（3）重点支出安排率</w:t>
      </w:r>
    </w:p>
    <w:p w14:paraId="0DACED9C">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rPr>
          <w:rStyle w:val="14"/>
          <w:rFonts w:hint="eastAsia" w:ascii="仿宋" w:hAnsi="仿宋" w:eastAsia="仿宋" w:cs="仿宋"/>
          <w:color w:val="000000"/>
          <w:sz w:val="32"/>
          <w:szCs w:val="32"/>
          <w:lang w:val="en-US" w:eastAsia="zh-CN" w:bidi="ar"/>
        </w:rPr>
      </w:pPr>
      <w:r>
        <w:rPr>
          <w:rFonts w:hint="eastAsia" w:ascii="仿宋" w:hAnsi="仿宋" w:eastAsia="仿宋" w:cs="仿宋"/>
          <w:kern w:val="2"/>
          <w:sz w:val="32"/>
          <w:szCs w:val="32"/>
          <w:lang w:val="en-US" w:eastAsia="zh-CN" w:bidi="ar"/>
        </w:rPr>
        <w:t>市应急管理局</w:t>
      </w:r>
      <w:r>
        <w:rPr>
          <w:rStyle w:val="16"/>
          <w:rFonts w:hint="eastAsia" w:ascii="仿宋" w:hAnsi="仿宋" w:eastAsia="仿宋" w:cs="仿宋"/>
          <w:sz w:val="32"/>
          <w:szCs w:val="32"/>
          <w:highlight w:val="none"/>
          <w:lang w:bidi="ar"/>
        </w:rPr>
        <w:t>将项目支出金额大于</w:t>
      </w:r>
      <w:r>
        <w:rPr>
          <w:rStyle w:val="16"/>
          <w:rFonts w:hint="eastAsia" w:ascii="仿宋" w:hAnsi="仿宋" w:eastAsia="仿宋" w:cs="仿宋"/>
          <w:sz w:val="32"/>
          <w:szCs w:val="32"/>
          <w:highlight w:val="none"/>
          <w:lang w:val="en-US" w:eastAsia="zh-CN" w:bidi="ar"/>
        </w:rPr>
        <w:t>20.00</w:t>
      </w:r>
      <w:r>
        <w:rPr>
          <w:rStyle w:val="16"/>
          <w:rFonts w:hint="eastAsia" w:ascii="仿宋" w:hAnsi="仿宋" w:eastAsia="仿宋" w:cs="仿宋"/>
          <w:sz w:val="32"/>
          <w:szCs w:val="32"/>
          <w:highlight w:val="none"/>
          <w:lang w:bidi="ar"/>
        </w:rPr>
        <w:t>万元的列为</w:t>
      </w:r>
      <w:r>
        <w:rPr>
          <w:rStyle w:val="16"/>
          <w:rFonts w:hint="eastAsia" w:ascii="仿宋" w:hAnsi="仿宋" w:eastAsia="仿宋" w:cs="仿宋"/>
          <w:sz w:val="32"/>
          <w:szCs w:val="32"/>
          <w:highlight w:val="none"/>
          <w:lang w:val="en-US" w:eastAsia="zh-CN" w:bidi="ar"/>
        </w:rPr>
        <w:t>重</w:t>
      </w:r>
      <w:r>
        <w:rPr>
          <w:rStyle w:val="16"/>
          <w:rFonts w:hint="eastAsia" w:ascii="仿宋" w:hAnsi="仿宋" w:eastAsia="仿宋" w:cs="仿宋"/>
          <w:sz w:val="32"/>
          <w:szCs w:val="32"/>
          <w:highlight w:val="none"/>
          <w:lang w:bidi="ar"/>
        </w:rPr>
        <w:t>点项目</w:t>
      </w:r>
      <w:r>
        <w:rPr>
          <w:rStyle w:val="14"/>
          <w:rFonts w:hint="eastAsia" w:ascii="仿宋" w:hAnsi="仿宋" w:eastAsia="仿宋" w:cs="仿宋"/>
          <w:color w:val="000000"/>
          <w:sz w:val="32"/>
          <w:szCs w:val="32"/>
          <w:lang w:val="en-US" w:eastAsia="zh-CN" w:bidi="ar"/>
        </w:rPr>
        <w:t>，2023年重点项</w:t>
      </w:r>
      <w:r>
        <w:rPr>
          <w:rStyle w:val="16"/>
          <w:rFonts w:hint="eastAsia" w:ascii="仿宋" w:hAnsi="仿宋" w:eastAsia="仿宋" w:cs="仿宋"/>
          <w:sz w:val="32"/>
          <w:szCs w:val="32"/>
          <w:highlight w:val="none"/>
          <w:lang w:bidi="ar"/>
        </w:rPr>
        <w:t>目</w:t>
      </w:r>
      <w:r>
        <w:rPr>
          <w:rStyle w:val="16"/>
          <w:rFonts w:hint="eastAsia" w:ascii="仿宋" w:hAnsi="仿宋" w:eastAsia="仿宋" w:cs="仿宋"/>
          <w:sz w:val="32"/>
          <w:szCs w:val="32"/>
          <w:highlight w:val="none"/>
          <w:lang w:val="en-US" w:eastAsia="zh-CN" w:bidi="ar"/>
        </w:rPr>
        <w:t>14</w:t>
      </w:r>
      <w:r>
        <w:rPr>
          <w:rStyle w:val="16"/>
          <w:rFonts w:hint="eastAsia" w:ascii="仿宋" w:hAnsi="仿宋" w:eastAsia="仿宋" w:cs="仿宋"/>
          <w:sz w:val="32"/>
          <w:szCs w:val="32"/>
          <w:highlight w:val="none"/>
          <w:lang w:bidi="ar"/>
        </w:rPr>
        <w:t>个，合计</w:t>
      </w:r>
      <w:r>
        <w:rPr>
          <w:rStyle w:val="16"/>
          <w:rFonts w:hint="eastAsia" w:ascii="仿宋" w:hAnsi="仿宋" w:eastAsia="仿宋" w:cs="仿宋"/>
          <w:sz w:val="32"/>
          <w:szCs w:val="32"/>
          <w:highlight w:val="none"/>
          <w:lang w:val="en-US" w:eastAsia="zh-CN" w:bidi="ar"/>
        </w:rPr>
        <w:t>支出</w:t>
      </w:r>
      <w:r>
        <w:rPr>
          <w:rStyle w:val="16"/>
          <w:rFonts w:hint="eastAsia" w:ascii="仿宋" w:hAnsi="仿宋" w:eastAsia="仿宋" w:cs="仿宋"/>
          <w:sz w:val="32"/>
          <w:szCs w:val="32"/>
          <w:highlight w:val="none"/>
          <w:lang w:bidi="ar"/>
        </w:rPr>
        <w:t>金额为</w:t>
      </w:r>
      <w:r>
        <w:rPr>
          <w:rStyle w:val="16"/>
          <w:rFonts w:hint="eastAsia" w:ascii="仿宋" w:hAnsi="仿宋" w:eastAsia="仿宋" w:cs="仿宋"/>
          <w:sz w:val="32"/>
          <w:szCs w:val="32"/>
          <w:highlight w:val="none"/>
          <w:lang w:val="en-US" w:eastAsia="zh-CN" w:bidi="ar"/>
        </w:rPr>
        <w:t>1,483</w:t>
      </w:r>
      <w:r>
        <w:rPr>
          <w:rStyle w:val="16"/>
          <w:rFonts w:hint="eastAsia" w:ascii="仿宋" w:hAnsi="仿宋" w:eastAsia="仿宋" w:cs="仿宋"/>
          <w:sz w:val="32"/>
          <w:szCs w:val="32"/>
          <w:highlight w:val="none"/>
          <w:lang w:bidi="ar"/>
        </w:rPr>
        <w:t>.</w:t>
      </w:r>
      <w:r>
        <w:rPr>
          <w:rStyle w:val="16"/>
          <w:rFonts w:hint="eastAsia" w:ascii="仿宋" w:hAnsi="仿宋" w:eastAsia="仿宋" w:cs="仿宋"/>
          <w:sz w:val="32"/>
          <w:szCs w:val="32"/>
          <w:highlight w:val="none"/>
          <w:lang w:val="en-US" w:eastAsia="zh-CN" w:bidi="ar"/>
        </w:rPr>
        <w:t>93</w:t>
      </w:r>
      <w:r>
        <w:rPr>
          <w:rStyle w:val="16"/>
          <w:rFonts w:hint="eastAsia" w:ascii="仿宋" w:hAnsi="仿宋" w:eastAsia="仿宋" w:cs="仿宋"/>
          <w:sz w:val="32"/>
          <w:szCs w:val="32"/>
          <w:highlight w:val="none"/>
          <w:lang w:bidi="ar"/>
        </w:rPr>
        <w:t>万元</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bidi="ar"/>
        </w:rPr>
        <w:t>项目总支出</w:t>
      </w:r>
      <w:r>
        <w:rPr>
          <w:rStyle w:val="16"/>
          <w:rFonts w:hint="eastAsia" w:ascii="仿宋" w:hAnsi="仿宋" w:eastAsia="仿宋" w:cs="仿宋"/>
          <w:sz w:val="32"/>
          <w:szCs w:val="32"/>
          <w:highlight w:val="none"/>
          <w:lang w:val="en-US" w:eastAsia="zh-CN" w:bidi="ar"/>
        </w:rPr>
        <w:t>1,639.28</w:t>
      </w:r>
      <w:r>
        <w:rPr>
          <w:rStyle w:val="16"/>
          <w:rFonts w:hint="eastAsia" w:ascii="仿宋" w:hAnsi="仿宋" w:eastAsia="仿宋" w:cs="仿宋"/>
          <w:sz w:val="32"/>
          <w:szCs w:val="32"/>
          <w:highlight w:val="none"/>
          <w:lang w:bidi="ar"/>
        </w:rPr>
        <w:t>万元。重点项目安排率为</w:t>
      </w:r>
      <w:r>
        <w:rPr>
          <w:rStyle w:val="16"/>
          <w:rFonts w:hint="eastAsia" w:ascii="仿宋" w:hAnsi="仿宋" w:eastAsia="仿宋" w:cs="仿宋"/>
          <w:sz w:val="32"/>
          <w:szCs w:val="32"/>
          <w:highlight w:val="none"/>
          <w:lang w:val="en-US" w:eastAsia="zh-CN" w:bidi="ar"/>
        </w:rPr>
        <w:t>90.52</w:t>
      </w:r>
      <w:r>
        <w:rPr>
          <w:rStyle w:val="16"/>
          <w:rFonts w:hint="eastAsia" w:ascii="仿宋" w:hAnsi="仿宋" w:eastAsia="仿宋" w:cs="仿宋"/>
          <w:sz w:val="32"/>
          <w:szCs w:val="32"/>
          <w:highlight w:val="none"/>
          <w:lang w:bidi="ar"/>
        </w:rPr>
        <w:t>%</w:t>
      </w:r>
      <w:r>
        <w:rPr>
          <w:rStyle w:val="14"/>
          <w:rFonts w:hint="eastAsia" w:ascii="仿宋" w:hAnsi="仿宋" w:eastAsia="仿宋" w:cs="仿宋"/>
          <w:color w:val="000000"/>
          <w:sz w:val="32"/>
          <w:szCs w:val="32"/>
          <w:lang w:val="en-US" w:eastAsia="zh-CN" w:bidi="ar"/>
        </w:rPr>
        <w:t>。本项满分3分，实际得分3分。</w:t>
      </w:r>
    </w:p>
    <w:p w14:paraId="2E5B6E4C">
      <w:pPr>
        <w:pStyle w:val="9"/>
        <w:keepNext w:val="0"/>
        <w:keepLines w:val="0"/>
        <w:pageBreakBefore w:val="0"/>
        <w:widowControl/>
        <w:kinsoku/>
        <w:wordWrap/>
        <w:overflowPunct/>
        <w:topLinePunct w:val="0"/>
        <w:autoSpaceDE/>
        <w:autoSpaceDN/>
        <w:bidi w:val="0"/>
        <w:adjustRightInd/>
        <w:snapToGrid/>
        <w:spacing w:before="165" w:beforeLines="50" w:after="165" w:afterLines="50"/>
        <w:ind w:firstLine="482"/>
        <w:textAlignment w:val="auto"/>
        <w:outlineLvl w:val="1"/>
        <w:rPr>
          <w:rFonts w:hint="eastAsia" w:ascii="仿宋" w:hAnsi="仿宋" w:eastAsia="仿宋" w:cs="仿宋"/>
          <w:b/>
          <w:bCs/>
          <w:sz w:val="32"/>
          <w:szCs w:val="32"/>
          <w:highlight w:val="none"/>
        </w:rPr>
      </w:pPr>
      <w:bookmarkStart w:id="22" w:name="_Toc14077"/>
      <w:r>
        <w:rPr>
          <w:rFonts w:hint="eastAsia" w:ascii="仿宋" w:hAnsi="仿宋" w:eastAsia="仿宋" w:cs="仿宋"/>
          <w:b/>
          <w:bCs/>
          <w:sz w:val="32"/>
          <w:szCs w:val="32"/>
          <w:highlight w:val="none"/>
          <w:lang w:bidi="ar"/>
        </w:rPr>
        <w:t>（二）项目过程情况</w:t>
      </w:r>
      <w:bookmarkEnd w:id="22"/>
    </w:p>
    <w:p w14:paraId="048681BC">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lang w:bidi="ar"/>
        </w:rPr>
        <w:t>从预算执行、预算管理、资产管理三个方面进行评价，满分为49分，总得分</w:t>
      </w:r>
      <w:r>
        <w:rPr>
          <w:rFonts w:hint="eastAsia" w:ascii="仿宋" w:hAnsi="仿宋" w:eastAsia="仿宋" w:cs="仿宋"/>
          <w:kern w:val="2"/>
          <w:sz w:val="32"/>
          <w:szCs w:val="32"/>
          <w:highlight w:val="none"/>
          <w:lang w:val="en-US" w:eastAsia="zh-CN" w:bidi="ar"/>
        </w:rPr>
        <w:t>28</w:t>
      </w:r>
      <w:r>
        <w:rPr>
          <w:rFonts w:hint="eastAsia" w:ascii="仿宋" w:hAnsi="仿宋" w:eastAsia="仿宋" w:cs="仿宋"/>
          <w:kern w:val="2"/>
          <w:sz w:val="32"/>
          <w:szCs w:val="32"/>
          <w:highlight w:val="none"/>
          <w:lang w:bidi="ar"/>
        </w:rPr>
        <w:t>分。</w:t>
      </w:r>
    </w:p>
    <w:p w14:paraId="22323A77">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表4-2项目过程情况得分表</w:t>
      </w:r>
    </w:p>
    <w:tbl>
      <w:tblPr>
        <w:tblStyle w:val="10"/>
        <w:tblW w:w="8595"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27"/>
        <w:gridCol w:w="1537"/>
        <w:gridCol w:w="2910"/>
        <w:gridCol w:w="1110"/>
        <w:gridCol w:w="1065"/>
      </w:tblGrid>
      <w:tr w14:paraId="3A963238">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blHeader/>
          <w:jc w:val="center"/>
        </w:trPr>
        <w:tc>
          <w:tcPr>
            <w:tcW w:w="1246" w:type="dxa"/>
            <w:tcBorders>
              <w:top w:val="single" w:color="auto" w:sz="8" w:space="0"/>
              <w:left w:val="nil"/>
              <w:bottom w:val="dotted" w:color="auto" w:sz="4" w:space="0"/>
              <w:right w:val="dotted" w:color="auto" w:sz="4" w:space="0"/>
            </w:tcBorders>
            <w:noWrap/>
            <w:vAlign w:val="center"/>
          </w:tcPr>
          <w:p w14:paraId="09C12CF1">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27" w:type="dxa"/>
            <w:tcBorders>
              <w:top w:val="single" w:color="auto" w:sz="8" w:space="0"/>
              <w:left w:val="dotted" w:color="auto" w:sz="4" w:space="0"/>
              <w:bottom w:val="dotted" w:color="auto" w:sz="4" w:space="0"/>
              <w:right w:val="dotted" w:color="auto" w:sz="4" w:space="0"/>
            </w:tcBorders>
            <w:noWrap/>
            <w:vAlign w:val="center"/>
          </w:tcPr>
          <w:p w14:paraId="42E33FC7">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537" w:type="dxa"/>
            <w:tcBorders>
              <w:top w:val="single" w:color="auto" w:sz="8" w:space="0"/>
              <w:left w:val="dotted" w:color="auto" w:sz="4" w:space="0"/>
              <w:bottom w:val="dotted" w:color="auto" w:sz="4" w:space="0"/>
              <w:right w:val="dotted" w:color="auto" w:sz="4" w:space="0"/>
            </w:tcBorders>
            <w:noWrap/>
            <w:vAlign w:val="center"/>
          </w:tcPr>
          <w:p w14:paraId="060B5E3A">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2910" w:type="dxa"/>
            <w:tcBorders>
              <w:top w:val="single" w:color="auto" w:sz="8" w:space="0"/>
              <w:left w:val="dotted" w:color="auto" w:sz="4" w:space="0"/>
              <w:bottom w:val="dotted" w:color="auto" w:sz="4" w:space="0"/>
              <w:right w:val="dotted" w:color="auto" w:sz="4" w:space="0"/>
            </w:tcBorders>
            <w:noWrap/>
            <w:vAlign w:val="center"/>
          </w:tcPr>
          <w:p w14:paraId="4A2FCFC8">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10" w:type="dxa"/>
            <w:tcBorders>
              <w:top w:val="single" w:color="auto" w:sz="8" w:space="0"/>
              <w:left w:val="dotted" w:color="auto" w:sz="4" w:space="0"/>
              <w:bottom w:val="dotted" w:color="auto" w:sz="4" w:space="0"/>
              <w:right w:val="dotted" w:color="auto" w:sz="4" w:space="0"/>
            </w:tcBorders>
            <w:noWrap/>
            <w:vAlign w:val="center"/>
          </w:tcPr>
          <w:p w14:paraId="0CC0AAD9">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065" w:type="dxa"/>
            <w:tcBorders>
              <w:top w:val="single" w:color="auto" w:sz="8" w:space="0"/>
              <w:left w:val="dotted" w:color="auto" w:sz="4" w:space="0"/>
              <w:bottom w:val="dotted" w:color="auto" w:sz="4" w:space="0"/>
              <w:right w:val="nil"/>
            </w:tcBorders>
            <w:noWrap/>
            <w:vAlign w:val="center"/>
          </w:tcPr>
          <w:p w14:paraId="0D1837E2">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190C4D9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restart"/>
            <w:tcBorders>
              <w:top w:val="dotted" w:color="auto" w:sz="4" w:space="0"/>
              <w:left w:val="nil"/>
              <w:bottom w:val="dotted" w:color="auto" w:sz="4" w:space="0"/>
              <w:right w:val="dotted" w:color="auto" w:sz="4" w:space="0"/>
            </w:tcBorders>
            <w:noWrap/>
            <w:vAlign w:val="center"/>
          </w:tcPr>
          <w:p w14:paraId="15A21EED">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过程</w:t>
            </w:r>
          </w:p>
        </w:tc>
        <w:tc>
          <w:tcPr>
            <w:tcW w:w="727" w:type="dxa"/>
            <w:vMerge w:val="restart"/>
            <w:tcBorders>
              <w:top w:val="dotted" w:color="auto" w:sz="4" w:space="0"/>
              <w:left w:val="dotted" w:color="auto" w:sz="4" w:space="0"/>
              <w:bottom w:val="dotted" w:color="auto" w:sz="4" w:space="0"/>
              <w:right w:val="dotted" w:color="auto" w:sz="4" w:space="0"/>
            </w:tcBorders>
            <w:noWrap/>
            <w:vAlign w:val="center"/>
          </w:tcPr>
          <w:p w14:paraId="1F89FA90">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49</w:t>
            </w:r>
          </w:p>
        </w:tc>
        <w:tc>
          <w:tcPr>
            <w:tcW w:w="1537" w:type="dxa"/>
            <w:vMerge w:val="restart"/>
            <w:tcBorders>
              <w:top w:val="dotted" w:color="auto" w:sz="4" w:space="0"/>
              <w:left w:val="dotted" w:color="auto" w:sz="4" w:space="0"/>
              <w:bottom w:val="dotted" w:color="auto" w:sz="4" w:space="0"/>
              <w:right w:val="dotted" w:color="auto" w:sz="4" w:space="0"/>
            </w:tcBorders>
            <w:noWrap w:val="0"/>
            <w:vAlign w:val="center"/>
          </w:tcPr>
          <w:p w14:paraId="20A814A2">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预算执行</w:t>
            </w:r>
          </w:p>
          <w:p w14:paraId="1DA8C687">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0E6644ED">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预算完成率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75FDA052">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11</w:t>
            </w:r>
          </w:p>
        </w:tc>
        <w:tc>
          <w:tcPr>
            <w:tcW w:w="1065" w:type="dxa"/>
            <w:tcBorders>
              <w:top w:val="dotted" w:color="auto" w:sz="4" w:space="0"/>
              <w:left w:val="dotted" w:color="auto" w:sz="4" w:space="0"/>
              <w:bottom w:val="dotted" w:color="auto" w:sz="4" w:space="0"/>
              <w:right w:val="nil"/>
            </w:tcBorders>
            <w:noWrap/>
            <w:vAlign w:val="center"/>
          </w:tcPr>
          <w:p w14:paraId="303ECE48">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0</w:t>
            </w:r>
          </w:p>
        </w:tc>
      </w:tr>
      <w:tr w14:paraId="63E8AE44">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27A30A92">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3E412606">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2705A316">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6D7B01E2">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预算调整率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1D638B4F">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435FC8DF">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0</w:t>
            </w:r>
          </w:p>
        </w:tc>
      </w:tr>
      <w:tr w14:paraId="37BD17BB">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44CBD641">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AD41D15">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12197F80">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223AE642">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结转结余率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5029B761">
            <w:pPr>
              <w:widowControl/>
              <w:autoSpaceDE w:val="0"/>
              <w:spacing w:line="240" w:lineRule="auto"/>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6</w:t>
            </w:r>
          </w:p>
        </w:tc>
        <w:tc>
          <w:tcPr>
            <w:tcW w:w="1065" w:type="dxa"/>
            <w:tcBorders>
              <w:top w:val="dotted" w:color="auto" w:sz="4" w:space="0"/>
              <w:left w:val="dotted" w:color="auto" w:sz="4" w:space="0"/>
              <w:bottom w:val="dotted" w:color="auto" w:sz="4" w:space="0"/>
              <w:right w:val="nil"/>
            </w:tcBorders>
            <w:noWrap/>
            <w:vAlign w:val="center"/>
          </w:tcPr>
          <w:p w14:paraId="1FEC152C">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0</w:t>
            </w:r>
          </w:p>
        </w:tc>
      </w:tr>
      <w:tr w14:paraId="167FD908">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08C8EBB6">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5E5108C8">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49575CD5">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0"/>
            <w:vAlign w:val="center"/>
          </w:tcPr>
          <w:p w14:paraId="5954D730">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结转结余变动率</w:t>
            </w:r>
          </w:p>
        </w:tc>
        <w:tc>
          <w:tcPr>
            <w:tcW w:w="1110" w:type="dxa"/>
            <w:tcBorders>
              <w:top w:val="dotted" w:color="auto" w:sz="4" w:space="0"/>
              <w:left w:val="dotted" w:color="auto" w:sz="4" w:space="0"/>
              <w:bottom w:val="dotted" w:color="auto" w:sz="4" w:space="0"/>
              <w:right w:val="dotted" w:color="auto" w:sz="4" w:space="0"/>
            </w:tcBorders>
            <w:noWrap w:val="0"/>
            <w:vAlign w:val="center"/>
          </w:tcPr>
          <w:p w14:paraId="1FF2B731">
            <w:pPr>
              <w:widowControl/>
              <w:autoSpaceDE w:val="0"/>
              <w:spacing w:line="240" w:lineRule="auto"/>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1</w:t>
            </w:r>
          </w:p>
        </w:tc>
        <w:tc>
          <w:tcPr>
            <w:tcW w:w="1065" w:type="dxa"/>
            <w:tcBorders>
              <w:top w:val="dotted" w:color="auto" w:sz="4" w:space="0"/>
              <w:left w:val="dotted" w:color="auto" w:sz="4" w:space="0"/>
              <w:bottom w:val="dotted" w:color="auto" w:sz="4" w:space="0"/>
              <w:right w:val="nil"/>
            </w:tcBorders>
            <w:noWrap/>
            <w:vAlign w:val="center"/>
          </w:tcPr>
          <w:p w14:paraId="7AF7D293">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0</w:t>
            </w:r>
          </w:p>
        </w:tc>
      </w:tr>
      <w:tr w14:paraId="38AEC45A">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2784F500">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16D8200">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49510ADE">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349C4567">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公用经费控制率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6031E6C8">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65DB23BE">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152E7AB6">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281831C1">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56881ED2">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448E6A5D">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19B64369">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“三公经费”控制率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1615E9BE">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3219B048">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bidi="ar"/>
              </w:rPr>
            </w:pPr>
            <w:r>
              <w:rPr>
                <w:rFonts w:hint="eastAsia" w:ascii="仿宋" w:hAnsi="仿宋" w:eastAsia="仿宋" w:cs="仿宋"/>
                <w:color w:val="000000"/>
                <w:kern w:val="0"/>
                <w:sz w:val="24"/>
                <w:szCs w:val="24"/>
                <w:highlight w:val="none"/>
                <w:lang w:val="en-US" w:eastAsia="zh-CN" w:bidi="ar"/>
              </w:rPr>
              <w:t>1</w:t>
            </w:r>
          </w:p>
        </w:tc>
      </w:tr>
      <w:tr w14:paraId="337B2F88">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603B9AD5">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1B1E771D">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0"/>
            <w:vAlign w:val="center"/>
          </w:tcPr>
          <w:p w14:paraId="6168D18C">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5FABC9A5">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政府采购执行率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7B42CE49">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12DA48CC">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3</w:t>
            </w:r>
          </w:p>
        </w:tc>
      </w:tr>
      <w:tr w14:paraId="6CA3AEE5">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52F6831B">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7A6DB4C8">
            <w:pPr>
              <w:rPr>
                <w:rFonts w:hint="eastAsia" w:ascii="仿宋" w:hAnsi="仿宋" w:eastAsia="仿宋" w:cs="仿宋"/>
                <w:sz w:val="24"/>
                <w:szCs w:val="24"/>
                <w:highlight w:val="none"/>
              </w:rPr>
            </w:pPr>
          </w:p>
        </w:tc>
        <w:tc>
          <w:tcPr>
            <w:tcW w:w="1537" w:type="dxa"/>
            <w:vMerge w:val="restart"/>
            <w:tcBorders>
              <w:top w:val="dotted" w:color="auto" w:sz="4" w:space="0"/>
              <w:left w:val="dotted" w:color="auto" w:sz="4" w:space="0"/>
              <w:bottom w:val="dotted" w:color="auto" w:sz="4" w:space="0"/>
              <w:right w:val="dotted" w:color="auto" w:sz="4" w:space="0"/>
            </w:tcBorders>
            <w:noWrap/>
            <w:vAlign w:val="center"/>
          </w:tcPr>
          <w:p w14:paraId="60D7D241">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预算管理</w:t>
            </w:r>
          </w:p>
        </w:tc>
        <w:tc>
          <w:tcPr>
            <w:tcW w:w="2910" w:type="dxa"/>
            <w:tcBorders>
              <w:top w:val="dotted" w:color="auto" w:sz="4" w:space="0"/>
              <w:left w:val="dotted" w:color="auto" w:sz="4" w:space="0"/>
              <w:bottom w:val="dotted" w:color="auto" w:sz="4" w:space="0"/>
              <w:right w:val="dotted" w:color="auto" w:sz="4" w:space="0"/>
            </w:tcBorders>
            <w:noWrap/>
            <w:vAlign w:val="center"/>
          </w:tcPr>
          <w:p w14:paraId="70768A20">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管理制度健全性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3E20A603">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2C89B606">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3</w:t>
            </w:r>
          </w:p>
        </w:tc>
      </w:tr>
      <w:tr w14:paraId="16207300">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6EC14036">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2C4A8044">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7DBB0B52">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1641C4D2">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资金使用合规性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7BF00F83">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1065" w:type="dxa"/>
            <w:tcBorders>
              <w:top w:val="dotted" w:color="auto" w:sz="4" w:space="0"/>
              <w:left w:val="dotted" w:color="auto" w:sz="4" w:space="0"/>
              <w:bottom w:val="dotted" w:color="auto" w:sz="4" w:space="0"/>
              <w:right w:val="nil"/>
            </w:tcBorders>
            <w:noWrap/>
            <w:vAlign w:val="center"/>
          </w:tcPr>
          <w:p w14:paraId="2D2E4523">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r>
      <w:tr w14:paraId="58B7A741">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13D55221">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D1E4E71">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63E67F75">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46DCF9E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预决算信息公开性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06FE9B13">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53A21A5E">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604D29C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2317569C">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4DFF367A">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35E549D6">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15D8BB27">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基础信息完善性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2388F213">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32A3B163">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63E0D470">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44CCDB5B">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CF63E94">
            <w:pPr>
              <w:rPr>
                <w:rFonts w:hint="eastAsia" w:ascii="仿宋" w:hAnsi="仿宋" w:eastAsia="仿宋" w:cs="仿宋"/>
                <w:sz w:val="24"/>
                <w:szCs w:val="24"/>
                <w:highlight w:val="none"/>
              </w:rPr>
            </w:pPr>
          </w:p>
        </w:tc>
        <w:tc>
          <w:tcPr>
            <w:tcW w:w="1537" w:type="dxa"/>
            <w:vMerge w:val="restart"/>
            <w:tcBorders>
              <w:top w:val="dotted" w:color="auto" w:sz="4" w:space="0"/>
              <w:left w:val="dotted" w:color="auto" w:sz="4" w:space="0"/>
              <w:bottom w:val="dotted" w:color="auto" w:sz="4" w:space="0"/>
              <w:right w:val="dotted" w:color="auto" w:sz="4" w:space="0"/>
            </w:tcBorders>
            <w:noWrap/>
            <w:vAlign w:val="center"/>
          </w:tcPr>
          <w:p w14:paraId="6C8DBD9B">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资产管理</w:t>
            </w:r>
          </w:p>
        </w:tc>
        <w:tc>
          <w:tcPr>
            <w:tcW w:w="2910" w:type="dxa"/>
            <w:tcBorders>
              <w:top w:val="dotted" w:color="auto" w:sz="4" w:space="0"/>
              <w:left w:val="dotted" w:color="auto" w:sz="4" w:space="0"/>
              <w:bottom w:val="dotted" w:color="auto" w:sz="4" w:space="0"/>
              <w:right w:val="dotted" w:color="auto" w:sz="4" w:space="0"/>
            </w:tcBorders>
            <w:noWrap/>
            <w:vAlign w:val="center"/>
          </w:tcPr>
          <w:p w14:paraId="3E9DF7B0">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管理制度健全性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32DFD0D0">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3</w:t>
            </w:r>
          </w:p>
        </w:tc>
        <w:tc>
          <w:tcPr>
            <w:tcW w:w="1065" w:type="dxa"/>
            <w:tcBorders>
              <w:top w:val="dotted" w:color="auto" w:sz="4" w:space="0"/>
              <w:left w:val="dotted" w:color="auto" w:sz="4" w:space="0"/>
              <w:bottom w:val="dotted" w:color="auto" w:sz="4" w:space="0"/>
              <w:right w:val="nil"/>
            </w:tcBorders>
            <w:noWrap/>
            <w:vAlign w:val="center"/>
          </w:tcPr>
          <w:p w14:paraId="0C15175E">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w:t>
            </w:r>
          </w:p>
        </w:tc>
      </w:tr>
      <w:tr w14:paraId="08412A95">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236BD43D">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3E631464">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1BF4977B">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5640F63A">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资产管理安全性</w:t>
            </w:r>
          </w:p>
        </w:tc>
        <w:tc>
          <w:tcPr>
            <w:tcW w:w="1110" w:type="dxa"/>
            <w:tcBorders>
              <w:top w:val="dotted" w:color="auto" w:sz="4" w:space="0"/>
              <w:left w:val="dotted" w:color="auto" w:sz="4" w:space="0"/>
              <w:bottom w:val="dotted" w:color="auto" w:sz="4" w:space="0"/>
              <w:right w:val="dotted" w:color="auto" w:sz="4" w:space="0"/>
            </w:tcBorders>
            <w:noWrap/>
            <w:vAlign w:val="center"/>
          </w:tcPr>
          <w:p w14:paraId="6A8A4A93">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1065" w:type="dxa"/>
            <w:tcBorders>
              <w:top w:val="dotted" w:color="auto" w:sz="4" w:space="0"/>
              <w:left w:val="dotted" w:color="auto" w:sz="4" w:space="0"/>
              <w:bottom w:val="dotted" w:color="auto" w:sz="4" w:space="0"/>
              <w:right w:val="nil"/>
            </w:tcBorders>
            <w:noWrap/>
            <w:vAlign w:val="center"/>
          </w:tcPr>
          <w:p w14:paraId="785D3A25">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r>
      <w:tr w14:paraId="5BF1B0D9">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6A218CA1">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6E40838F">
            <w:pPr>
              <w:rPr>
                <w:rFonts w:hint="eastAsia" w:ascii="仿宋" w:hAnsi="仿宋" w:eastAsia="仿宋" w:cs="仿宋"/>
                <w:sz w:val="24"/>
                <w:szCs w:val="24"/>
                <w:highlight w:val="none"/>
              </w:rPr>
            </w:pPr>
          </w:p>
        </w:tc>
        <w:tc>
          <w:tcPr>
            <w:tcW w:w="1537" w:type="dxa"/>
            <w:vMerge w:val="continue"/>
            <w:tcBorders>
              <w:top w:val="dotted" w:color="auto" w:sz="4" w:space="0"/>
              <w:left w:val="dotted" w:color="auto" w:sz="4" w:space="0"/>
              <w:bottom w:val="dotted" w:color="auto" w:sz="4" w:space="0"/>
              <w:right w:val="dotted" w:color="auto" w:sz="4" w:space="0"/>
            </w:tcBorders>
            <w:noWrap/>
            <w:vAlign w:val="center"/>
          </w:tcPr>
          <w:p w14:paraId="07724A34">
            <w:pPr>
              <w:rPr>
                <w:rFonts w:hint="eastAsia" w:ascii="仿宋" w:hAnsi="仿宋" w:eastAsia="仿宋" w:cs="仿宋"/>
                <w:sz w:val="24"/>
                <w:szCs w:val="24"/>
                <w:highlight w:val="none"/>
              </w:rPr>
            </w:pPr>
          </w:p>
        </w:tc>
        <w:tc>
          <w:tcPr>
            <w:tcW w:w="2910" w:type="dxa"/>
            <w:tcBorders>
              <w:top w:val="dotted" w:color="auto" w:sz="4" w:space="0"/>
              <w:left w:val="dotted" w:color="auto" w:sz="4" w:space="0"/>
              <w:bottom w:val="dotted" w:color="auto" w:sz="4" w:space="0"/>
              <w:right w:val="dotted" w:color="auto" w:sz="4" w:space="0"/>
            </w:tcBorders>
            <w:noWrap/>
            <w:vAlign w:val="center"/>
          </w:tcPr>
          <w:p w14:paraId="6466F3A7">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固定资产利用率</w:t>
            </w:r>
          </w:p>
        </w:tc>
        <w:tc>
          <w:tcPr>
            <w:tcW w:w="1110" w:type="dxa"/>
            <w:tcBorders>
              <w:top w:val="dotted" w:color="auto" w:sz="4" w:space="0"/>
              <w:left w:val="dotted" w:color="auto" w:sz="4" w:space="0"/>
              <w:bottom w:val="dotted" w:color="auto" w:sz="4" w:space="0"/>
              <w:right w:val="dotted" w:color="auto" w:sz="4" w:space="0"/>
            </w:tcBorders>
            <w:noWrap/>
            <w:vAlign w:val="center"/>
          </w:tcPr>
          <w:p w14:paraId="1616F2B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2</w:t>
            </w:r>
          </w:p>
        </w:tc>
        <w:tc>
          <w:tcPr>
            <w:tcW w:w="1065" w:type="dxa"/>
            <w:tcBorders>
              <w:top w:val="dotted" w:color="auto" w:sz="4" w:space="0"/>
              <w:left w:val="dotted" w:color="auto" w:sz="4" w:space="0"/>
              <w:bottom w:val="dotted" w:color="auto" w:sz="4" w:space="0"/>
              <w:right w:val="nil"/>
            </w:tcBorders>
            <w:noWrap/>
            <w:vAlign w:val="center"/>
          </w:tcPr>
          <w:p w14:paraId="0FE4C982">
            <w:pPr>
              <w:widowControl/>
              <w:autoSpaceDE w:val="0"/>
              <w:spacing w:line="24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p>
        </w:tc>
      </w:tr>
      <w:tr w14:paraId="3702A73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061D3008">
            <w:pPr>
              <w:rPr>
                <w:rFonts w:hint="eastAsia" w:ascii="仿宋" w:hAnsi="仿宋" w:eastAsia="仿宋" w:cs="仿宋"/>
                <w:sz w:val="24"/>
                <w:szCs w:val="24"/>
                <w:highlight w:val="none"/>
              </w:rPr>
            </w:pPr>
          </w:p>
        </w:tc>
        <w:tc>
          <w:tcPr>
            <w:tcW w:w="727" w:type="dxa"/>
            <w:vMerge w:val="continue"/>
            <w:tcBorders>
              <w:top w:val="dotted" w:color="auto" w:sz="4" w:space="0"/>
              <w:left w:val="dotted" w:color="auto" w:sz="4" w:space="0"/>
              <w:bottom w:val="dotted" w:color="auto" w:sz="4" w:space="0"/>
              <w:right w:val="dotted" w:color="auto" w:sz="4" w:space="0"/>
            </w:tcBorders>
            <w:noWrap/>
            <w:vAlign w:val="center"/>
          </w:tcPr>
          <w:p w14:paraId="0E35D4AE">
            <w:pPr>
              <w:rPr>
                <w:rFonts w:hint="eastAsia" w:ascii="仿宋" w:hAnsi="仿宋" w:eastAsia="仿宋" w:cs="仿宋"/>
                <w:sz w:val="24"/>
                <w:szCs w:val="24"/>
                <w:highlight w:val="none"/>
              </w:rPr>
            </w:pPr>
          </w:p>
        </w:tc>
        <w:tc>
          <w:tcPr>
            <w:tcW w:w="4447" w:type="dxa"/>
            <w:gridSpan w:val="2"/>
            <w:tcBorders>
              <w:top w:val="dotted" w:color="auto" w:sz="4" w:space="0"/>
              <w:left w:val="dotted" w:color="auto" w:sz="4" w:space="0"/>
              <w:bottom w:val="single" w:color="auto" w:sz="8" w:space="0"/>
              <w:right w:val="dotted" w:color="auto" w:sz="4" w:space="0"/>
            </w:tcBorders>
            <w:noWrap/>
            <w:vAlign w:val="center"/>
          </w:tcPr>
          <w:p w14:paraId="5A57DF1F">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10" w:type="dxa"/>
            <w:tcBorders>
              <w:top w:val="dotted" w:color="auto" w:sz="4" w:space="0"/>
              <w:left w:val="dotted" w:color="auto" w:sz="4" w:space="0"/>
              <w:bottom w:val="single" w:color="auto" w:sz="8" w:space="0"/>
              <w:right w:val="dotted" w:color="auto" w:sz="4" w:space="0"/>
            </w:tcBorders>
            <w:noWrap/>
            <w:vAlign w:val="center"/>
          </w:tcPr>
          <w:p w14:paraId="4F8A5D6D">
            <w:pPr>
              <w:widowControl/>
              <w:autoSpaceDE w:val="0"/>
              <w:spacing w:line="240" w:lineRule="auto"/>
              <w:jc w:val="center"/>
              <w:textAlignment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49</w:t>
            </w:r>
          </w:p>
        </w:tc>
        <w:tc>
          <w:tcPr>
            <w:tcW w:w="1065" w:type="dxa"/>
            <w:tcBorders>
              <w:top w:val="dotted" w:color="auto" w:sz="4" w:space="0"/>
              <w:left w:val="dotted" w:color="auto" w:sz="4" w:space="0"/>
              <w:bottom w:val="single" w:color="auto" w:sz="8" w:space="0"/>
              <w:right w:val="nil"/>
            </w:tcBorders>
            <w:noWrap/>
            <w:vAlign w:val="center"/>
          </w:tcPr>
          <w:p w14:paraId="4D4B8480">
            <w:pPr>
              <w:widowControl/>
              <w:autoSpaceDE w:val="0"/>
              <w:spacing w:before="10" w:line="240" w:lineRule="auto"/>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28</w:t>
            </w:r>
          </w:p>
        </w:tc>
      </w:tr>
    </w:tbl>
    <w:p w14:paraId="6A8B3F8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lang w:bidi="ar"/>
        </w:rPr>
        <w:t>1.预算执行情况</w:t>
      </w:r>
    </w:p>
    <w:p w14:paraId="57C62CE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（1）预算完成率</w:t>
      </w:r>
    </w:p>
    <w:p w14:paraId="6F62124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val="0"/>
          <w:bCs/>
          <w:color w:val="auto"/>
          <w:kern w:val="2"/>
          <w:sz w:val="32"/>
          <w:szCs w:val="32"/>
          <w:highlight w:val="none"/>
          <w:lang w:val="en-US" w:eastAsia="zh-CN" w:bidi="ar"/>
        </w:rPr>
      </w:pPr>
      <w:r>
        <w:rPr>
          <w:rFonts w:hint="eastAsia" w:ascii="仿宋" w:hAnsi="仿宋" w:eastAsia="仿宋" w:cs="仿宋"/>
          <w:b w:val="0"/>
          <w:bCs/>
          <w:color w:val="auto"/>
          <w:kern w:val="2"/>
          <w:sz w:val="32"/>
          <w:szCs w:val="32"/>
          <w:highlight w:val="none"/>
          <w:lang w:val="en-US" w:eastAsia="zh-CN" w:bidi="ar"/>
        </w:rPr>
        <w:t>《部门预算批复表》中《收支预算总表》的预算数总额为</w:t>
      </w:r>
      <w:r>
        <w:rPr>
          <w:rFonts w:hint="eastAsia" w:ascii="仿宋" w:hAnsi="仿宋" w:eastAsia="仿宋" w:cs="仿宋"/>
          <w:sz w:val="32"/>
          <w:szCs w:val="32"/>
          <w:highlight w:val="none"/>
          <w:lang w:val="en-US" w:eastAsia="zh-CN"/>
        </w:rPr>
        <w:t>9,855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56万元；</w:t>
      </w:r>
      <w:r>
        <w:rPr>
          <w:rFonts w:hint="eastAsia" w:ascii="仿宋" w:hAnsi="仿宋" w:eastAsia="仿宋" w:cs="仿宋"/>
          <w:b w:val="0"/>
          <w:bCs/>
          <w:color w:val="auto"/>
          <w:kern w:val="2"/>
          <w:sz w:val="32"/>
          <w:szCs w:val="32"/>
          <w:highlight w:val="none"/>
          <w:lang w:val="en-US" w:eastAsia="zh-CN" w:bidi="ar"/>
        </w:rPr>
        <w:t>《部门决算报表》中《收入支出决算总表》的决算数为</w:t>
      </w:r>
      <w:r>
        <w:rPr>
          <w:rStyle w:val="16"/>
          <w:rFonts w:hint="eastAsia" w:ascii="仿宋" w:hAnsi="仿宋" w:eastAsia="仿宋" w:cs="仿宋"/>
          <w:sz w:val="32"/>
          <w:szCs w:val="32"/>
          <w:highlight w:val="none"/>
          <w:lang w:eastAsia="zh-CN" w:bidi="ar"/>
        </w:rPr>
        <w:t xml:space="preserve"> 2</w:t>
      </w:r>
      <w:r>
        <w:rPr>
          <w:rStyle w:val="16"/>
          <w:rFonts w:hint="eastAsia" w:ascii="仿宋" w:hAnsi="仿宋" w:eastAsia="仿宋" w:cs="仿宋"/>
          <w:sz w:val="32"/>
          <w:szCs w:val="32"/>
          <w:highlight w:val="none"/>
          <w:lang w:val="en-US" w:eastAsia="zh-CN" w:bidi="ar"/>
        </w:rPr>
        <w:t>,</w:t>
      </w:r>
      <w:r>
        <w:rPr>
          <w:rStyle w:val="16"/>
          <w:rFonts w:hint="eastAsia" w:ascii="仿宋" w:hAnsi="仿宋" w:eastAsia="仿宋" w:cs="仿宋"/>
          <w:sz w:val="32"/>
          <w:szCs w:val="32"/>
          <w:highlight w:val="none"/>
          <w:lang w:eastAsia="zh-CN" w:bidi="ar"/>
        </w:rPr>
        <w:t>9</w:t>
      </w:r>
      <w:r>
        <w:rPr>
          <w:rStyle w:val="16"/>
          <w:rFonts w:hint="eastAsia" w:ascii="仿宋" w:hAnsi="仿宋" w:eastAsia="仿宋" w:cs="仿宋"/>
          <w:sz w:val="32"/>
          <w:szCs w:val="32"/>
          <w:highlight w:val="none"/>
          <w:lang w:val="en-US" w:eastAsia="zh-CN" w:bidi="ar"/>
        </w:rPr>
        <w:t>08</w:t>
      </w:r>
      <w:r>
        <w:rPr>
          <w:rStyle w:val="16"/>
          <w:rFonts w:hint="eastAsia" w:ascii="仿宋" w:hAnsi="仿宋" w:eastAsia="仿宋" w:cs="仿宋"/>
          <w:sz w:val="32"/>
          <w:szCs w:val="32"/>
          <w:highlight w:val="none"/>
          <w:lang w:eastAsia="zh-CN" w:bidi="ar"/>
        </w:rPr>
        <w:t>.</w:t>
      </w:r>
      <w:r>
        <w:rPr>
          <w:rStyle w:val="16"/>
          <w:rFonts w:hint="eastAsia" w:ascii="仿宋" w:hAnsi="仿宋" w:eastAsia="仿宋" w:cs="仿宋"/>
          <w:sz w:val="32"/>
          <w:szCs w:val="32"/>
          <w:highlight w:val="none"/>
          <w:lang w:val="en-US" w:eastAsia="zh-CN" w:bidi="ar"/>
        </w:rPr>
        <w:t>49万</w:t>
      </w:r>
      <w:r>
        <w:rPr>
          <w:rFonts w:hint="eastAsia" w:ascii="仿宋" w:hAnsi="仿宋" w:eastAsia="仿宋" w:cs="仿宋"/>
          <w:sz w:val="32"/>
          <w:szCs w:val="32"/>
          <w:highlight w:val="none"/>
          <w:lang w:val="en-US" w:eastAsia="zh-CN"/>
        </w:rPr>
        <w:t>元</w:t>
      </w:r>
      <w:r>
        <w:rPr>
          <w:rFonts w:hint="eastAsia" w:ascii="仿宋" w:hAnsi="仿宋" w:eastAsia="仿宋" w:cs="仿宋"/>
          <w:b w:val="0"/>
          <w:bCs/>
          <w:color w:val="auto"/>
          <w:kern w:val="2"/>
          <w:sz w:val="32"/>
          <w:szCs w:val="32"/>
          <w:highlight w:val="none"/>
          <w:lang w:val="en-US" w:eastAsia="zh-CN" w:bidi="ar"/>
        </w:rPr>
        <w:t>；预算完成率为29.51%。本项满分11分，扣11分，实际得分0分。</w:t>
      </w:r>
    </w:p>
    <w:p w14:paraId="139C1002">
      <w:pPr>
        <w:pStyle w:val="9"/>
        <w:keepNext w:val="0"/>
        <w:keepLines w:val="0"/>
        <w:pageBreakBefore w:val="0"/>
        <w:widowControl/>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（2）预算调整率</w:t>
      </w:r>
    </w:p>
    <w:p w14:paraId="444C3BAB">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kern w:val="2"/>
          <w:sz w:val="32"/>
          <w:szCs w:val="32"/>
          <w:highlight w:val="none"/>
        </w:rPr>
        <w:t>《部门预算批复表》中《收支预算总表》的</w:t>
      </w:r>
      <w:r>
        <w:rPr>
          <w:rFonts w:hint="eastAsia" w:ascii="仿宋" w:hAnsi="仿宋" w:eastAsia="仿宋" w:cs="仿宋"/>
          <w:kern w:val="2"/>
          <w:sz w:val="32"/>
          <w:szCs w:val="32"/>
          <w:highlight w:val="none"/>
          <w:lang w:val="en-US" w:eastAsia="zh-CN"/>
        </w:rPr>
        <w:t>年初</w:t>
      </w:r>
      <w:r>
        <w:rPr>
          <w:rFonts w:hint="eastAsia" w:ascii="仿宋" w:hAnsi="仿宋" w:eastAsia="仿宋" w:cs="仿宋"/>
          <w:kern w:val="2"/>
          <w:sz w:val="32"/>
          <w:szCs w:val="32"/>
          <w:highlight w:val="none"/>
        </w:rPr>
        <w:t>算数</w:t>
      </w:r>
      <w:r>
        <w:rPr>
          <w:rFonts w:hint="eastAsia" w:ascii="仿宋" w:hAnsi="仿宋" w:eastAsia="仿宋" w:cs="仿宋"/>
          <w:sz w:val="32"/>
          <w:szCs w:val="32"/>
          <w:highlight w:val="none"/>
          <w:lang w:val="en-US" w:eastAsia="zh-CN"/>
        </w:rPr>
        <w:t>1,725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19万</w:t>
      </w:r>
      <w:r>
        <w:rPr>
          <w:rFonts w:hint="eastAsia" w:ascii="仿宋" w:hAnsi="仿宋" w:eastAsia="仿宋" w:cs="仿宋"/>
          <w:kern w:val="2"/>
          <w:sz w:val="32"/>
          <w:szCs w:val="32"/>
          <w:highlight w:val="none"/>
        </w:rPr>
        <w:t>元，综合调</w:t>
      </w:r>
      <w:r>
        <w:rPr>
          <w:rFonts w:hint="eastAsia" w:ascii="仿宋" w:hAnsi="仿宋" w:eastAsia="仿宋" w:cs="仿宋"/>
          <w:kern w:val="2"/>
          <w:sz w:val="32"/>
          <w:szCs w:val="32"/>
          <w:highlight w:val="none"/>
          <w:lang w:val="en-US" w:eastAsia="zh-CN"/>
        </w:rPr>
        <w:t>增</w:t>
      </w:r>
      <w:r>
        <w:rPr>
          <w:rFonts w:hint="eastAsia" w:ascii="仿宋" w:hAnsi="仿宋" w:eastAsia="仿宋" w:cs="仿宋"/>
          <w:kern w:val="2"/>
          <w:sz w:val="32"/>
          <w:szCs w:val="32"/>
          <w:highlight w:val="none"/>
        </w:rPr>
        <w:t>预算指标金额为</w:t>
      </w:r>
      <w:r>
        <w:rPr>
          <w:rFonts w:hint="eastAsia" w:ascii="仿宋" w:hAnsi="仿宋" w:eastAsia="仿宋" w:cs="仿宋"/>
          <w:sz w:val="32"/>
          <w:szCs w:val="32"/>
          <w:highlight w:val="none"/>
          <w:lang w:val="en-US" w:eastAsia="zh-CN"/>
        </w:rPr>
        <w:t>8,042.08万</w:t>
      </w:r>
      <w:r>
        <w:rPr>
          <w:rFonts w:hint="eastAsia" w:ascii="仿宋" w:hAnsi="仿宋" w:eastAsia="仿宋" w:cs="仿宋"/>
          <w:kern w:val="2"/>
          <w:sz w:val="32"/>
          <w:szCs w:val="32"/>
          <w:highlight w:val="none"/>
          <w:lang w:val="en-US" w:eastAsia="zh-CN"/>
        </w:rPr>
        <w:t>元</w:t>
      </w:r>
      <w:r>
        <w:rPr>
          <w:rFonts w:hint="eastAsia" w:ascii="仿宋" w:hAnsi="仿宋" w:eastAsia="仿宋" w:cs="仿宋"/>
          <w:kern w:val="2"/>
          <w:sz w:val="32"/>
          <w:szCs w:val="32"/>
          <w:highlight w:val="none"/>
        </w:rPr>
        <w:t>，调整后全年预算金额为</w:t>
      </w:r>
      <w:r>
        <w:rPr>
          <w:rFonts w:hint="eastAsia" w:ascii="仿宋" w:hAnsi="仿宋" w:eastAsia="仿宋" w:cs="仿宋"/>
          <w:sz w:val="32"/>
          <w:szCs w:val="32"/>
          <w:highlight w:val="none"/>
          <w:lang w:val="en-US" w:eastAsia="zh-CN"/>
        </w:rPr>
        <w:t>9,855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56万元。预算调整率为81.60%，本项满分2分，扣2分，实际得分0分。</w:t>
      </w:r>
    </w:p>
    <w:p w14:paraId="3C8F4EE0">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3</w:t>
      </w:r>
      <w:r>
        <w:rPr>
          <w:rFonts w:hint="eastAsia" w:ascii="仿宋" w:hAnsi="仿宋" w:eastAsia="仿宋" w:cs="仿宋"/>
          <w:kern w:val="2"/>
          <w:sz w:val="32"/>
          <w:szCs w:val="32"/>
          <w:highlight w:val="none"/>
          <w:lang w:bidi="ar"/>
        </w:rPr>
        <w:t>）结转结余率</w:t>
      </w:r>
    </w:p>
    <w:p w14:paraId="1EABCEBF">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b/>
          <w:bCs/>
          <w:kern w:val="2"/>
          <w:sz w:val="32"/>
          <w:szCs w:val="32"/>
          <w:highlight w:val="none"/>
          <w:lang w:eastAsia="zh-CN"/>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kern w:val="2"/>
          <w:sz w:val="32"/>
          <w:szCs w:val="32"/>
          <w:highlight w:val="none"/>
          <w:lang w:val="en-US" w:eastAsia="zh-CN"/>
        </w:rPr>
        <w:t>2023年</w:t>
      </w:r>
      <w:r>
        <w:rPr>
          <w:rFonts w:hint="eastAsia" w:ascii="仿宋" w:hAnsi="仿宋" w:eastAsia="仿宋" w:cs="仿宋"/>
          <w:b w:val="0"/>
          <w:bCs/>
          <w:color w:val="auto"/>
          <w:kern w:val="2"/>
          <w:sz w:val="32"/>
          <w:szCs w:val="32"/>
          <w:highlight w:val="none"/>
          <w:lang w:val="en-US" w:eastAsia="zh-CN" w:bidi="ar"/>
        </w:rPr>
        <w:t>结转结余数为6,947.07万元，结转结余率70.49%。本项满分6分，扣6分，实际得分0分。</w:t>
      </w:r>
    </w:p>
    <w:p w14:paraId="3792063D">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left="420" w:left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4</w:t>
      </w: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结</w:t>
      </w:r>
      <w:r>
        <w:rPr>
          <w:rFonts w:hint="eastAsia" w:ascii="仿宋" w:hAnsi="仿宋" w:eastAsia="仿宋" w:cs="仿宋"/>
          <w:kern w:val="2"/>
          <w:sz w:val="32"/>
          <w:szCs w:val="32"/>
          <w:highlight w:val="none"/>
          <w:lang w:bidi="ar"/>
        </w:rPr>
        <w:t>转结余变动率</w:t>
      </w:r>
    </w:p>
    <w:p w14:paraId="79319FFE">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kern w:val="2"/>
          <w:sz w:val="32"/>
          <w:szCs w:val="32"/>
          <w:highlight w:val="none"/>
          <w:lang w:val="en-US" w:eastAsia="zh-CN"/>
        </w:rPr>
        <w:t>2023年</w:t>
      </w:r>
      <w:r>
        <w:rPr>
          <w:rFonts w:hint="eastAsia" w:ascii="仿宋" w:hAnsi="仿宋" w:eastAsia="仿宋" w:cs="仿宋"/>
          <w:b w:val="0"/>
          <w:bCs/>
          <w:color w:val="auto"/>
          <w:kern w:val="2"/>
          <w:sz w:val="32"/>
          <w:szCs w:val="32"/>
          <w:highlight w:val="none"/>
          <w:lang w:val="en-US" w:eastAsia="zh-CN" w:bidi="ar"/>
        </w:rPr>
        <w:t>结转结余数为6,947.07万元，2022年结转结余数为956.63万元，结转结余变动率为626.20%。本项满分1分，扣1分，实际得分0分。</w:t>
      </w:r>
    </w:p>
    <w:p w14:paraId="45DF27F0">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left="420" w:left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5</w:t>
      </w:r>
      <w:r>
        <w:rPr>
          <w:rFonts w:hint="eastAsia" w:ascii="仿宋" w:hAnsi="仿宋" w:eastAsia="仿宋" w:cs="仿宋"/>
          <w:kern w:val="2"/>
          <w:sz w:val="32"/>
          <w:szCs w:val="32"/>
          <w:highlight w:val="none"/>
          <w:lang w:bidi="ar"/>
        </w:rPr>
        <w:t>）公用经费控制率</w:t>
      </w:r>
    </w:p>
    <w:p w14:paraId="711B5F6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165" w:beforeLines="50" w:beforeAutospacing="0" w:after="165" w:afterLines="50" w:afterAutospacing="0" w:line="360" w:lineRule="auto"/>
        <w:ind w:leftChars="0" w:right="0" w:rightChars="0" w:firstLine="640" w:firstLineChars="200"/>
        <w:jc w:val="left"/>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color w:val="auto"/>
          <w:kern w:val="2"/>
          <w:sz w:val="32"/>
          <w:szCs w:val="32"/>
          <w:highlight w:val="none"/>
          <w:lang w:val="en-US" w:eastAsia="zh-CN" w:bidi="ar"/>
        </w:rPr>
        <w:t>2023年实际支出公用经费总额为69.39万元，2023年公用经费全年预算总额为69.39万元，公用经费控制率为100.00%。本项满分2分，实际得分2分。</w:t>
      </w:r>
    </w:p>
    <w:p w14:paraId="408C5B40">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left="0" w:leftChars="0"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2"/>
          <w:szCs w:val="32"/>
          <w:highlight w:val="none"/>
          <w:lang w:bidi="ar"/>
        </w:rPr>
        <w:t>）“三公经费 ”控制率</w:t>
      </w:r>
    </w:p>
    <w:p w14:paraId="6DCF963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color w:val="000000"/>
          <w:kern w:val="2"/>
          <w:sz w:val="32"/>
          <w:szCs w:val="32"/>
          <w:lang w:val="en-US" w:eastAsia="zh-CN" w:bidi="ar"/>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color w:val="000000"/>
          <w:kern w:val="2"/>
          <w:sz w:val="32"/>
          <w:szCs w:val="32"/>
          <w:lang w:val="en-US" w:eastAsia="zh-CN" w:bidi="ar"/>
        </w:rPr>
        <w:t>2023年“三公经费”实际支出数为53.34万元，2023年“三公经费”预算安排数为53.34万元，“三公经费”控制率为100.00%。本项满分2分，扣1分，实际得分1分。</w:t>
      </w:r>
    </w:p>
    <w:p w14:paraId="01C82672">
      <w:pPr>
        <w:pStyle w:val="9"/>
        <w:keepNext w:val="0"/>
        <w:keepLines w:val="0"/>
        <w:pageBreakBefore w:val="0"/>
        <w:kinsoku/>
        <w:wordWrap/>
        <w:overflowPunct/>
        <w:topLinePunct w:val="0"/>
        <w:autoSpaceDE/>
        <w:autoSpaceDN/>
        <w:bidi w:val="0"/>
        <w:adjustRightInd/>
        <w:snapToGrid/>
        <w:spacing w:before="165" w:beforeLines="50" w:beforeAutospacing="0" w:after="165" w:afterLines="50" w:afterAutospacing="0" w:line="360" w:lineRule="auto"/>
        <w:ind w:left="0" w:leftChars="0"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w:t>
      </w:r>
      <w:r>
        <w:rPr>
          <w:rFonts w:hint="eastAsia" w:ascii="仿宋" w:hAnsi="仿宋" w:eastAsia="仿宋" w:cs="仿宋"/>
          <w:kern w:val="2"/>
          <w:sz w:val="32"/>
          <w:szCs w:val="32"/>
          <w:highlight w:val="none"/>
          <w:lang w:val="en-US" w:eastAsia="zh-CN" w:bidi="ar"/>
        </w:rPr>
        <w:t>7</w:t>
      </w:r>
      <w:r>
        <w:rPr>
          <w:rFonts w:hint="eastAsia" w:ascii="仿宋" w:hAnsi="仿宋" w:eastAsia="仿宋" w:cs="仿宋"/>
          <w:kern w:val="2"/>
          <w:sz w:val="32"/>
          <w:szCs w:val="32"/>
          <w:highlight w:val="none"/>
          <w:lang w:bidi="ar"/>
        </w:rPr>
        <w:t>）政府采购执行率</w:t>
      </w:r>
    </w:p>
    <w:p w14:paraId="06AF6DD0">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kern w:val="2"/>
          <w:sz w:val="32"/>
          <w:szCs w:val="32"/>
          <w:highlight w:val="none"/>
        </w:rPr>
        <w:t>2023年</w:t>
      </w:r>
      <w:r>
        <w:rPr>
          <w:rFonts w:hint="eastAsia" w:ascii="仿宋" w:hAnsi="仿宋" w:eastAsia="仿宋" w:cs="仿宋"/>
          <w:color w:val="000000"/>
          <w:kern w:val="2"/>
          <w:sz w:val="32"/>
          <w:szCs w:val="32"/>
          <w:lang w:val="en-US" w:eastAsia="zh" w:bidi="ar-SA"/>
        </w:rPr>
        <w:t>度</w:t>
      </w:r>
      <w:r>
        <w:rPr>
          <w:rFonts w:hint="eastAsia" w:ascii="仿宋" w:hAnsi="仿宋" w:eastAsia="仿宋" w:cs="仿宋"/>
          <w:color w:val="000000"/>
          <w:kern w:val="2"/>
          <w:sz w:val="32"/>
          <w:szCs w:val="32"/>
          <w:lang w:val="en-US" w:eastAsia="zh-CN" w:bidi="ar-SA"/>
        </w:rPr>
        <w:t>无政府采购项目，</w:t>
      </w:r>
      <w:r>
        <w:rPr>
          <w:rFonts w:hint="eastAsia" w:ascii="仿宋" w:hAnsi="仿宋" w:eastAsia="仿宋" w:cs="仿宋"/>
          <w:b w:val="0"/>
          <w:bCs/>
          <w:color w:val="auto"/>
          <w:kern w:val="2"/>
          <w:sz w:val="32"/>
          <w:szCs w:val="32"/>
          <w:highlight w:val="none"/>
          <w:lang w:val="en-US" w:eastAsia="zh-CN" w:bidi="ar"/>
        </w:rPr>
        <w:t>政府采购执行率为0。本项满分3分，实际得分3分。</w:t>
      </w:r>
    </w:p>
    <w:p w14:paraId="4972B64A">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lang w:bidi="ar"/>
        </w:rPr>
        <w:t>2.预算管理情况</w:t>
      </w:r>
    </w:p>
    <w:p w14:paraId="3106877E">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kern w:val="2"/>
          <w:sz w:val="32"/>
          <w:szCs w:val="32"/>
          <w:highlight w:val="none"/>
          <w:lang w:bidi="ar"/>
        </w:rPr>
      </w:pPr>
      <w:r>
        <w:rPr>
          <w:rFonts w:hint="eastAsia" w:ascii="仿宋" w:hAnsi="仿宋" w:eastAsia="仿宋" w:cs="仿宋"/>
          <w:kern w:val="2"/>
          <w:sz w:val="32"/>
          <w:szCs w:val="32"/>
          <w:highlight w:val="none"/>
          <w:lang w:bidi="ar"/>
        </w:rPr>
        <w:t>（1）管理制度健全性</w:t>
      </w:r>
    </w:p>
    <w:p w14:paraId="747A81BB">
      <w:pPr>
        <w:pStyle w:val="9"/>
        <w:keepNext w:val="0"/>
        <w:keepLines w:val="0"/>
        <w:pageBreakBefore w:val="0"/>
        <w:widowControl/>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left="0" w:right="0" w:rightChars="0" w:firstLine="640" w:firstLineChars="200"/>
        <w:jc w:val="left"/>
        <w:rPr>
          <w:rFonts w:hint="eastAsia" w:ascii="仿宋" w:hAnsi="仿宋" w:eastAsia="仿宋" w:cs="仿宋"/>
          <w:color w:val="000000"/>
          <w:kern w:val="2"/>
          <w:sz w:val="32"/>
          <w:szCs w:val="32"/>
          <w:lang w:val="en-US" w:eastAsia="zh-CN" w:bidi="ar"/>
        </w:rPr>
      </w:pPr>
      <w:r>
        <w:rPr>
          <w:rFonts w:hint="eastAsia" w:ascii="仿宋" w:hAnsi="仿宋" w:eastAsia="仿宋" w:cs="仿宋"/>
          <w:kern w:val="2"/>
          <w:sz w:val="32"/>
          <w:szCs w:val="32"/>
          <w:lang w:val="en-US" w:eastAsia="zh-CN" w:bidi="ar"/>
        </w:rPr>
        <w:t>市应急管理局制定了</w:t>
      </w:r>
      <w:r>
        <w:rPr>
          <w:rFonts w:hint="eastAsia" w:ascii="仿宋" w:hAnsi="仿宋" w:eastAsia="仿宋" w:cs="仿宋"/>
          <w:color w:val="000000"/>
          <w:kern w:val="0"/>
          <w:sz w:val="32"/>
          <w:szCs w:val="32"/>
          <w:lang w:val="en-US" w:eastAsia="zh-CN" w:bidi="ar"/>
        </w:rPr>
        <w:t>财务管理制度、业务层面内部控制制度、财务工作人员职责制度。建立了部门内控制度或措施，相关管理办法、制度、措施得到有效执行。</w:t>
      </w:r>
      <w:r>
        <w:rPr>
          <w:rFonts w:hint="eastAsia" w:ascii="仿宋" w:hAnsi="仿宋" w:eastAsia="仿宋" w:cs="仿宋"/>
          <w:color w:val="000000"/>
          <w:kern w:val="2"/>
          <w:sz w:val="32"/>
          <w:szCs w:val="32"/>
          <w:lang w:val="en-US" w:eastAsia="zh-CN" w:bidi="ar"/>
        </w:rPr>
        <w:t>本项满分3分，实际得分3分。</w:t>
      </w:r>
    </w:p>
    <w:p w14:paraId="155F1B0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（2）资金使用合规性</w:t>
      </w:r>
    </w:p>
    <w:p w14:paraId="3002819C">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color w:val="000000"/>
          <w:kern w:val="0"/>
          <w:sz w:val="32"/>
          <w:szCs w:val="32"/>
          <w:lang w:val="en-US" w:eastAsia="zh-CN" w:bidi="ar"/>
        </w:rPr>
        <w:t>使用预算资金符合国家财经法规和财务管理制度规定以及有关专项资金管理办法的规定；资金拨付有完整的审批程序和手续；项目的重大开支经过评估论证，符合预算批复的用途，不存在截留、挤占、挪用、虚列支出等情况。</w:t>
      </w:r>
      <w:r>
        <w:rPr>
          <w:rFonts w:hint="eastAsia" w:ascii="仿宋" w:hAnsi="仿宋" w:eastAsia="仿宋" w:cs="仿宋"/>
          <w:color w:val="000000"/>
          <w:kern w:val="2"/>
          <w:sz w:val="32"/>
          <w:szCs w:val="32"/>
          <w:lang w:val="en-US" w:eastAsia="zh-CN" w:bidi="ar"/>
        </w:rPr>
        <w:t>本项满分5分，得5分。</w:t>
      </w:r>
    </w:p>
    <w:p w14:paraId="0F6DB67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（3）预决算信息公开性</w:t>
      </w:r>
    </w:p>
    <w:p w14:paraId="67CF0960">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财政部关于印发《地方预决算公开操作规程》 的通知（财预[2016]143 号）“地方各级财政部门和各部门建有门户网站的，应当在门户网站公开预决算，并永久保留，其中当年预决算应当公开在网站醒目位置：没有门户网站的，应当采取措施在公开媒体公开预决算.并积极推动门户网站建设”</w:t>
      </w:r>
      <w:r>
        <w:rPr>
          <w:rFonts w:hint="eastAsia" w:ascii="仿宋" w:hAnsi="仿宋" w:eastAsia="仿宋" w:cs="仿宋"/>
          <w:sz w:val="32"/>
          <w:szCs w:val="32"/>
          <w:highlight w:val="none"/>
          <w:lang w:eastAsia="zh-CN"/>
        </w:rPr>
        <w:t>。</w:t>
      </w:r>
      <w:r>
        <w:rPr>
          <w:rFonts w:hint="eastAsia" w:ascii="仿宋" w:hAnsi="仿宋" w:eastAsia="仿宋" w:cs="仿宋"/>
          <w:kern w:val="2"/>
          <w:sz w:val="32"/>
          <w:szCs w:val="32"/>
          <w:lang w:val="en-US" w:eastAsia="zh-CN" w:bidi="ar"/>
        </w:rPr>
        <w:t>市应急管理局</w:t>
      </w:r>
      <w:r>
        <w:rPr>
          <w:rFonts w:hint="eastAsia" w:ascii="仿宋" w:hAnsi="仿宋" w:eastAsia="仿宋" w:cs="仿宋"/>
          <w:sz w:val="32"/>
          <w:szCs w:val="32"/>
          <w:highlight w:val="none"/>
        </w:rPr>
        <w:t>按规定按时在政府公开信息网站上公开单位2023年预算情况，2023年决算尚未批复，故尚未公开。</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2分。</w:t>
      </w:r>
    </w:p>
    <w:p w14:paraId="104509A8">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（4）基础信息完善性</w:t>
      </w:r>
    </w:p>
    <w:p w14:paraId="5BBDA35D">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经抽查</w:t>
      </w:r>
      <w:r>
        <w:rPr>
          <w:rFonts w:hint="eastAsia" w:ascii="仿宋" w:hAnsi="仿宋" w:eastAsia="仿宋" w:cs="仿宋"/>
          <w:sz w:val="32"/>
          <w:szCs w:val="32"/>
          <w:highlight w:val="none"/>
          <w:lang w:val="en-US" w:eastAsia="zh-CN"/>
        </w:rPr>
        <w:t>财务凭证，业务附件真实完整</w:t>
      </w:r>
      <w:r>
        <w:rPr>
          <w:rFonts w:hint="eastAsia" w:ascii="仿宋" w:hAnsi="仿宋" w:eastAsia="仿宋" w:cs="仿宋"/>
          <w:sz w:val="32"/>
          <w:szCs w:val="32"/>
          <w:highlight w:val="none"/>
        </w:rPr>
        <w:t>，基础数据信息和会计信息资料真实</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完整、准确</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2分。</w:t>
      </w:r>
    </w:p>
    <w:p w14:paraId="636A3E4B">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3.资产管理情况</w:t>
      </w:r>
    </w:p>
    <w:p w14:paraId="64FDBEF0">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（1）资产管理制度健全性</w:t>
      </w:r>
    </w:p>
    <w:p w14:paraId="7AEF7AE3">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color w:val="000000"/>
          <w:kern w:val="0"/>
          <w:sz w:val="32"/>
          <w:szCs w:val="32"/>
          <w:lang w:val="en-US" w:eastAsia="zh-CN" w:bidi="ar"/>
        </w:rPr>
        <w:t>制定了固定资产管理制度、财务管理制度等管理办法和制度。相关资产管理制度合法、合规、完整，相关资产管理制度得到有效执行。</w:t>
      </w:r>
      <w:r>
        <w:rPr>
          <w:rFonts w:hint="eastAsia" w:ascii="仿宋" w:hAnsi="仿宋" w:eastAsia="仿宋" w:cs="仿宋"/>
          <w:color w:val="000000"/>
          <w:kern w:val="2"/>
          <w:sz w:val="32"/>
          <w:szCs w:val="32"/>
          <w:lang w:val="en-US" w:eastAsia="zh-CN" w:bidi="ar"/>
        </w:rPr>
        <w:t>本项满分3分，</w:t>
      </w:r>
      <w:r>
        <w:rPr>
          <w:rFonts w:hint="eastAsia" w:ascii="仿宋" w:hAnsi="仿宋" w:eastAsia="仿宋" w:cs="仿宋"/>
          <w:sz w:val="32"/>
          <w:szCs w:val="32"/>
          <w:highlight w:val="none"/>
          <w:lang w:val="en-US" w:eastAsia="zh-CN"/>
        </w:rPr>
        <w:t>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分3</w:t>
      </w:r>
      <w:r>
        <w:rPr>
          <w:rFonts w:hint="eastAsia" w:ascii="仿宋" w:hAnsi="仿宋" w:eastAsia="仿宋" w:cs="仿宋"/>
          <w:sz w:val="32"/>
          <w:szCs w:val="32"/>
          <w:highlight w:val="none"/>
        </w:rPr>
        <w:t>分。</w:t>
      </w:r>
    </w:p>
    <w:p w14:paraId="4285E0D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（2）资产管理安全性</w:t>
      </w:r>
    </w:p>
    <w:p w14:paraId="6E8AF69F">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b w:val="0"/>
          <w:bCs/>
          <w:color w:val="auto"/>
          <w:kern w:val="0"/>
          <w:sz w:val="32"/>
          <w:szCs w:val="32"/>
          <w:highlight w:val="none"/>
          <w:lang w:val="en-US" w:eastAsia="zh-CN" w:bidi="ar"/>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b w:val="0"/>
          <w:bCs/>
          <w:color w:val="auto"/>
          <w:kern w:val="0"/>
          <w:sz w:val="32"/>
          <w:szCs w:val="32"/>
          <w:highlight w:val="none"/>
          <w:lang w:val="en-US" w:eastAsia="zh-CN" w:bidi="ar"/>
        </w:rPr>
        <w:t>资产配置合理，不存在超标准配置资产的情况；资产处置规范，不存在不按要求进行报批或资产不公开处置行为；资产账务管理合规，帐实相符；资产使用规范，不存在未经批准擅自出租、出借资产行为。本项满分5分，实际得分5分。</w:t>
      </w:r>
    </w:p>
    <w:p w14:paraId="55757956">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360" w:lineRule="auto"/>
        <w:ind w:right="0" w:rightChars="0" w:firstLine="640" w:firstLineChars="200"/>
        <w:jc w:val="left"/>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（3）固定资产利用率</w:t>
      </w:r>
    </w:p>
    <w:p w14:paraId="661841C6">
      <w:pPr>
        <w:pStyle w:val="9"/>
        <w:keepNext w:val="0"/>
        <w:keepLines w:val="0"/>
        <w:pageBreakBefore w:val="0"/>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sz w:val="32"/>
          <w:szCs w:val="32"/>
          <w:highlight w:val="none"/>
        </w:rPr>
        <w:t>固定资产总额为2</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914.</w:t>
      </w:r>
      <w:r>
        <w:rPr>
          <w:rFonts w:hint="eastAsia" w:ascii="仿宋" w:hAnsi="仿宋" w:eastAsia="仿宋" w:cs="仿宋"/>
          <w:sz w:val="32"/>
          <w:szCs w:val="32"/>
          <w:highlight w:val="none"/>
          <w:lang w:val="en-US" w:eastAsia="zh-CN"/>
        </w:rPr>
        <w:t>69万</w:t>
      </w:r>
      <w:r>
        <w:rPr>
          <w:rFonts w:hint="eastAsia" w:ascii="仿宋" w:hAnsi="仿宋" w:eastAsia="仿宋" w:cs="仿宋"/>
          <w:sz w:val="32"/>
          <w:szCs w:val="32"/>
          <w:highlight w:val="none"/>
        </w:rPr>
        <w:t>元，实际在用固定资产总额2</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914.</w:t>
      </w:r>
      <w:r>
        <w:rPr>
          <w:rFonts w:hint="eastAsia" w:ascii="仿宋" w:hAnsi="仿宋" w:eastAsia="仿宋" w:cs="仿宋"/>
          <w:sz w:val="32"/>
          <w:szCs w:val="32"/>
          <w:highlight w:val="none"/>
          <w:lang w:val="en-US" w:eastAsia="zh-CN"/>
        </w:rPr>
        <w:t>69万</w:t>
      </w:r>
      <w:r>
        <w:rPr>
          <w:rFonts w:hint="eastAsia" w:ascii="仿宋" w:hAnsi="仿宋" w:eastAsia="仿宋" w:cs="仿宋"/>
          <w:sz w:val="32"/>
          <w:szCs w:val="32"/>
          <w:highlight w:val="none"/>
        </w:rPr>
        <w:t>元，固定资产利用率为</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本项满分2分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实际得分</w:t>
      </w:r>
      <w:r>
        <w:rPr>
          <w:rFonts w:hint="eastAsia" w:ascii="仿宋" w:hAnsi="仿宋" w:eastAsia="仿宋" w:cs="仿宋"/>
          <w:sz w:val="32"/>
          <w:szCs w:val="32"/>
          <w:highlight w:val="none"/>
        </w:rPr>
        <w:t>得2分。</w:t>
      </w:r>
    </w:p>
    <w:p w14:paraId="14D68EC0">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3" w:name="_Toc18106"/>
      <w:r>
        <w:rPr>
          <w:rFonts w:hint="eastAsia" w:ascii="仿宋" w:hAnsi="仿宋" w:eastAsia="仿宋" w:cs="仿宋"/>
          <w:b/>
          <w:bCs/>
          <w:sz w:val="32"/>
          <w:szCs w:val="32"/>
          <w:highlight w:val="none"/>
          <w:lang w:bidi="ar"/>
        </w:rPr>
        <w:t>（三）项目产出情况</w:t>
      </w:r>
      <w:bookmarkEnd w:id="23"/>
    </w:p>
    <w:p w14:paraId="1DE06C55">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从部门整体产出情况的职责履行方面情况进行评价，满分为16分，总得分</w:t>
      </w:r>
      <w:r>
        <w:rPr>
          <w:rFonts w:hint="eastAsia" w:ascii="仿宋" w:hAnsi="仿宋" w:eastAsia="仿宋" w:cs="仿宋"/>
          <w:sz w:val="32"/>
          <w:szCs w:val="32"/>
          <w:highlight w:val="none"/>
          <w:lang w:val="en-US" w:eastAsia="zh-CN"/>
        </w:rPr>
        <w:t>13.70</w:t>
      </w:r>
      <w:r>
        <w:rPr>
          <w:rFonts w:hint="eastAsia" w:ascii="仿宋" w:hAnsi="仿宋" w:eastAsia="仿宋" w:cs="仿宋"/>
          <w:sz w:val="32"/>
          <w:szCs w:val="32"/>
          <w:highlight w:val="none"/>
        </w:rPr>
        <w:t>分。</w:t>
      </w:r>
    </w:p>
    <w:p w14:paraId="2CCCC9AB">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表4-3部门产出情况得分表</w:t>
      </w:r>
    </w:p>
    <w:tbl>
      <w:tblPr>
        <w:tblStyle w:val="10"/>
        <w:tblW w:w="8595" w:type="dxa"/>
        <w:tblInd w:w="96" w:type="dxa"/>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04"/>
        <w:gridCol w:w="1743"/>
        <w:gridCol w:w="2833"/>
        <w:gridCol w:w="1122"/>
        <w:gridCol w:w="947"/>
      </w:tblGrid>
      <w:tr w14:paraId="355204E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tcBorders>
              <w:top w:val="single" w:color="auto" w:sz="8" w:space="0"/>
              <w:left w:val="nil"/>
              <w:bottom w:val="dotted" w:color="auto" w:sz="4" w:space="0"/>
              <w:right w:val="dotted" w:color="auto" w:sz="4" w:space="0"/>
            </w:tcBorders>
            <w:noWrap/>
            <w:vAlign w:val="center"/>
          </w:tcPr>
          <w:p w14:paraId="5269CC4C">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04" w:type="dxa"/>
            <w:tcBorders>
              <w:top w:val="single" w:color="auto" w:sz="8" w:space="0"/>
              <w:left w:val="dotted" w:color="auto" w:sz="4" w:space="0"/>
              <w:bottom w:val="dotted" w:color="auto" w:sz="4" w:space="0"/>
              <w:right w:val="dotted" w:color="auto" w:sz="4" w:space="0"/>
            </w:tcBorders>
            <w:noWrap/>
            <w:vAlign w:val="center"/>
          </w:tcPr>
          <w:p w14:paraId="540E632B">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743" w:type="dxa"/>
            <w:tcBorders>
              <w:top w:val="single" w:color="auto" w:sz="8" w:space="0"/>
              <w:left w:val="dotted" w:color="auto" w:sz="4" w:space="0"/>
              <w:bottom w:val="dotted" w:color="auto" w:sz="4" w:space="0"/>
              <w:right w:val="dotted" w:color="auto" w:sz="4" w:space="0"/>
            </w:tcBorders>
            <w:noWrap/>
            <w:vAlign w:val="center"/>
          </w:tcPr>
          <w:p w14:paraId="6551FA25">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2833" w:type="dxa"/>
            <w:tcBorders>
              <w:top w:val="single" w:color="auto" w:sz="8" w:space="0"/>
              <w:left w:val="dotted" w:color="auto" w:sz="4" w:space="0"/>
              <w:bottom w:val="dotted" w:color="auto" w:sz="4" w:space="0"/>
              <w:right w:val="dotted" w:color="auto" w:sz="4" w:space="0"/>
            </w:tcBorders>
            <w:noWrap/>
            <w:vAlign w:val="center"/>
          </w:tcPr>
          <w:p w14:paraId="56F2F69E">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22" w:type="dxa"/>
            <w:tcBorders>
              <w:top w:val="single" w:color="auto" w:sz="8" w:space="0"/>
              <w:left w:val="dotted" w:color="auto" w:sz="4" w:space="0"/>
              <w:bottom w:val="dotted" w:color="auto" w:sz="4" w:space="0"/>
              <w:right w:val="dotted" w:color="auto" w:sz="4" w:space="0"/>
            </w:tcBorders>
            <w:noWrap/>
            <w:vAlign w:val="center"/>
          </w:tcPr>
          <w:p w14:paraId="5949F617">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947" w:type="dxa"/>
            <w:tcBorders>
              <w:top w:val="single" w:color="auto" w:sz="8" w:space="0"/>
              <w:left w:val="dotted" w:color="auto" w:sz="4" w:space="0"/>
              <w:bottom w:val="dotted" w:color="auto" w:sz="4" w:space="0"/>
              <w:right w:val="nil"/>
            </w:tcBorders>
            <w:noWrap/>
            <w:vAlign w:val="center"/>
          </w:tcPr>
          <w:p w14:paraId="64D10778">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031D4CA4">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restart"/>
            <w:tcBorders>
              <w:top w:val="dotted" w:color="auto" w:sz="4" w:space="0"/>
              <w:left w:val="nil"/>
              <w:bottom w:val="dotted" w:color="auto" w:sz="4" w:space="0"/>
              <w:right w:val="dotted" w:color="auto" w:sz="4" w:space="0"/>
            </w:tcBorders>
            <w:noWrap/>
            <w:vAlign w:val="center"/>
          </w:tcPr>
          <w:p w14:paraId="3FC59E46">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产出</w:t>
            </w:r>
          </w:p>
        </w:tc>
        <w:tc>
          <w:tcPr>
            <w:tcW w:w="704" w:type="dxa"/>
            <w:vMerge w:val="restart"/>
            <w:tcBorders>
              <w:top w:val="dotted" w:color="auto" w:sz="4" w:space="0"/>
              <w:left w:val="dotted" w:color="auto" w:sz="4" w:space="0"/>
              <w:bottom w:val="dotted" w:color="auto" w:sz="4" w:space="0"/>
              <w:right w:val="dotted" w:color="auto" w:sz="4" w:space="0"/>
            </w:tcBorders>
            <w:noWrap/>
            <w:vAlign w:val="center"/>
          </w:tcPr>
          <w:p w14:paraId="755D61FC">
            <w:pPr>
              <w:widowControl/>
              <w:autoSpaceDE w:val="0"/>
              <w:spacing w:before="10"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w:t>
            </w:r>
          </w:p>
        </w:tc>
        <w:tc>
          <w:tcPr>
            <w:tcW w:w="1743" w:type="dxa"/>
            <w:vMerge w:val="restart"/>
            <w:tcBorders>
              <w:top w:val="dotted" w:color="auto" w:sz="4" w:space="0"/>
              <w:left w:val="dotted" w:color="auto" w:sz="4" w:space="0"/>
              <w:bottom w:val="dotted" w:color="auto" w:sz="4" w:space="0"/>
              <w:right w:val="dotted" w:color="auto" w:sz="4" w:space="0"/>
            </w:tcBorders>
            <w:noWrap w:val="0"/>
            <w:vAlign w:val="center"/>
          </w:tcPr>
          <w:p w14:paraId="09A6CE26">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职责履行</w:t>
            </w:r>
          </w:p>
          <w:p w14:paraId="0AECC193">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0"/>
            <w:vAlign w:val="center"/>
          </w:tcPr>
          <w:p w14:paraId="4C6B5239">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实际完成率</w:t>
            </w:r>
          </w:p>
        </w:tc>
        <w:tc>
          <w:tcPr>
            <w:tcW w:w="1122" w:type="dxa"/>
            <w:tcBorders>
              <w:top w:val="dotted" w:color="auto" w:sz="4" w:space="0"/>
              <w:left w:val="dotted" w:color="auto" w:sz="4" w:space="0"/>
              <w:bottom w:val="dotted" w:color="auto" w:sz="4" w:space="0"/>
              <w:right w:val="dotted" w:color="auto" w:sz="4" w:space="0"/>
            </w:tcBorders>
            <w:noWrap w:val="0"/>
            <w:vAlign w:val="center"/>
          </w:tcPr>
          <w:p w14:paraId="6B8B8B57">
            <w:pPr>
              <w:widowControl/>
              <w:autoSpaceDE w:val="0"/>
              <w:spacing w:line="240" w:lineRule="auto"/>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3E6EBD59">
            <w:pPr>
              <w:widowControl/>
              <w:autoSpaceDE w:val="0"/>
              <w:spacing w:before="10" w:line="240" w:lineRule="auto"/>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3.52</w:t>
            </w:r>
          </w:p>
        </w:tc>
      </w:tr>
      <w:tr w14:paraId="6E5BF39A">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378C4497">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1177E6C2">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68C9596A">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6538D2B2">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完成及时率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540A8586">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2D2DFD96">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3.52</w:t>
            </w:r>
          </w:p>
        </w:tc>
      </w:tr>
      <w:tr w14:paraId="5E81CE5E">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19D3AB86">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469BD0C3">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64DB10DB">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2B2FEF85">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质量达标率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7D854438">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6E301059">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3.52</w:t>
            </w:r>
          </w:p>
        </w:tc>
      </w:tr>
      <w:tr w14:paraId="45B32762">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1246" w:type="dxa"/>
            <w:vMerge w:val="continue"/>
            <w:tcBorders>
              <w:top w:val="dotted" w:color="auto" w:sz="4" w:space="0"/>
              <w:left w:val="nil"/>
              <w:bottom w:val="dotted" w:color="auto" w:sz="4" w:space="0"/>
              <w:right w:val="dotted" w:color="auto" w:sz="4" w:space="0"/>
            </w:tcBorders>
            <w:noWrap/>
            <w:vAlign w:val="center"/>
          </w:tcPr>
          <w:p w14:paraId="0450FCCA">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6A151D37">
            <w:pPr>
              <w:rPr>
                <w:rFonts w:hint="eastAsia" w:ascii="仿宋" w:hAnsi="仿宋" w:eastAsia="仿宋" w:cs="仿宋"/>
                <w:sz w:val="24"/>
                <w:szCs w:val="24"/>
                <w:highlight w:val="none"/>
              </w:rPr>
            </w:pPr>
          </w:p>
        </w:tc>
        <w:tc>
          <w:tcPr>
            <w:tcW w:w="1743" w:type="dxa"/>
            <w:vMerge w:val="continue"/>
            <w:tcBorders>
              <w:top w:val="dotted" w:color="auto" w:sz="4" w:space="0"/>
              <w:left w:val="dotted" w:color="auto" w:sz="4" w:space="0"/>
              <w:bottom w:val="dotted" w:color="auto" w:sz="4" w:space="0"/>
              <w:right w:val="dotted" w:color="auto" w:sz="4" w:space="0"/>
            </w:tcBorders>
            <w:noWrap w:val="0"/>
            <w:vAlign w:val="center"/>
          </w:tcPr>
          <w:p w14:paraId="12D2C775">
            <w:pPr>
              <w:rPr>
                <w:rFonts w:hint="eastAsia" w:ascii="仿宋" w:hAnsi="仿宋" w:eastAsia="仿宋" w:cs="仿宋"/>
                <w:sz w:val="24"/>
                <w:szCs w:val="24"/>
                <w:highlight w:val="none"/>
              </w:rPr>
            </w:pPr>
          </w:p>
        </w:tc>
        <w:tc>
          <w:tcPr>
            <w:tcW w:w="2833" w:type="dxa"/>
            <w:tcBorders>
              <w:top w:val="dotted" w:color="auto" w:sz="4" w:space="0"/>
              <w:left w:val="dotted" w:color="auto" w:sz="4" w:space="0"/>
              <w:bottom w:val="dotted" w:color="auto" w:sz="4" w:space="0"/>
              <w:right w:val="dotted" w:color="auto" w:sz="4" w:space="0"/>
            </w:tcBorders>
            <w:noWrap/>
            <w:vAlign w:val="center"/>
          </w:tcPr>
          <w:p w14:paraId="6FEDCB93">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重点工作办结率</w:t>
            </w:r>
          </w:p>
        </w:tc>
        <w:tc>
          <w:tcPr>
            <w:tcW w:w="1122" w:type="dxa"/>
            <w:tcBorders>
              <w:top w:val="dotted" w:color="auto" w:sz="4" w:space="0"/>
              <w:left w:val="dotted" w:color="auto" w:sz="4" w:space="0"/>
              <w:bottom w:val="dotted" w:color="auto" w:sz="4" w:space="0"/>
              <w:right w:val="dotted" w:color="auto" w:sz="4" w:space="0"/>
            </w:tcBorders>
            <w:noWrap/>
            <w:vAlign w:val="center"/>
          </w:tcPr>
          <w:p w14:paraId="5AD91C7E">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4</w:t>
            </w:r>
          </w:p>
        </w:tc>
        <w:tc>
          <w:tcPr>
            <w:tcW w:w="947" w:type="dxa"/>
            <w:tcBorders>
              <w:top w:val="dotted" w:color="auto" w:sz="4" w:space="0"/>
              <w:left w:val="dotted" w:color="auto" w:sz="4" w:space="0"/>
              <w:bottom w:val="dotted" w:color="auto" w:sz="4" w:space="0"/>
              <w:right w:val="nil"/>
            </w:tcBorders>
            <w:noWrap/>
            <w:vAlign w:val="center"/>
          </w:tcPr>
          <w:p w14:paraId="3ECAC7B2">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3.14</w:t>
            </w:r>
          </w:p>
        </w:tc>
      </w:tr>
      <w:tr w14:paraId="1C3A75E6">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trPr>
        <w:tc>
          <w:tcPr>
            <w:tcW w:w="6526" w:type="dxa"/>
            <w:gridSpan w:val="4"/>
            <w:tcBorders>
              <w:top w:val="dotted" w:color="auto" w:sz="4" w:space="0"/>
              <w:left w:val="nil"/>
              <w:bottom w:val="single" w:color="auto" w:sz="8" w:space="0"/>
              <w:right w:val="dotted" w:color="auto" w:sz="4" w:space="0"/>
            </w:tcBorders>
            <w:noWrap/>
            <w:vAlign w:val="center"/>
          </w:tcPr>
          <w:p w14:paraId="0D453C58">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22" w:type="dxa"/>
            <w:tcBorders>
              <w:top w:val="dotted" w:color="auto" w:sz="4" w:space="0"/>
              <w:left w:val="dotted" w:color="auto" w:sz="4" w:space="0"/>
              <w:bottom w:val="single" w:color="auto" w:sz="8" w:space="0"/>
              <w:right w:val="dotted" w:color="auto" w:sz="4" w:space="0"/>
            </w:tcBorders>
            <w:noWrap/>
            <w:vAlign w:val="center"/>
          </w:tcPr>
          <w:p w14:paraId="49C49B72">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16</w:t>
            </w:r>
          </w:p>
        </w:tc>
        <w:tc>
          <w:tcPr>
            <w:tcW w:w="947" w:type="dxa"/>
            <w:tcBorders>
              <w:top w:val="dotted" w:color="auto" w:sz="4" w:space="0"/>
              <w:left w:val="dotted" w:color="auto" w:sz="4" w:space="0"/>
              <w:bottom w:val="single" w:color="auto" w:sz="8" w:space="0"/>
              <w:right w:val="nil"/>
            </w:tcBorders>
            <w:noWrap/>
            <w:vAlign w:val="center"/>
          </w:tcPr>
          <w:p w14:paraId="3B770954">
            <w:pPr>
              <w:widowControl/>
              <w:autoSpaceDE w:val="0"/>
              <w:spacing w:before="10" w:line="240" w:lineRule="auto"/>
              <w:jc w:val="center"/>
              <w:textAlignment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13.70</w:t>
            </w:r>
          </w:p>
        </w:tc>
      </w:tr>
    </w:tbl>
    <w:p w14:paraId="60EDDD9B">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1.职责履行情况</w:t>
      </w:r>
    </w:p>
    <w:p w14:paraId="39E8E95C">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（1）实际完成率</w:t>
      </w:r>
    </w:p>
    <w:p w14:paraId="389AE0BD">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33</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val="en-US" w:eastAsia="zh-CN"/>
        </w:rPr>
        <w:t>截至2023年12月31日，</w:t>
      </w:r>
      <w:r>
        <w:rPr>
          <w:rFonts w:hint="eastAsia" w:ascii="仿宋" w:hAnsi="仿宋" w:eastAsia="仿宋" w:cs="仿宋"/>
          <w:sz w:val="32"/>
          <w:szCs w:val="32"/>
          <w:highlight w:val="none"/>
        </w:rPr>
        <w:t>实际完成任务数为</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个，实际完成率为</w:t>
      </w:r>
      <w:r>
        <w:rPr>
          <w:rFonts w:hint="eastAsia" w:ascii="仿宋" w:hAnsi="仿宋" w:eastAsia="仿宋" w:cs="仿宋"/>
          <w:sz w:val="32"/>
          <w:szCs w:val="32"/>
          <w:highlight w:val="none"/>
          <w:lang w:val="en-US" w:eastAsia="zh-CN"/>
        </w:rPr>
        <w:t>87.88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本项满分4分，扣0.48分，实际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分3.52</w:t>
      </w:r>
      <w:r>
        <w:rPr>
          <w:rFonts w:hint="eastAsia" w:ascii="仿宋" w:hAnsi="仿宋" w:eastAsia="仿宋" w:cs="仿宋"/>
          <w:sz w:val="32"/>
          <w:szCs w:val="32"/>
          <w:highlight w:val="none"/>
        </w:rPr>
        <w:t>分。</w:t>
      </w:r>
    </w:p>
    <w:p w14:paraId="55B8D046">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（2）完成及时率</w:t>
      </w:r>
    </w:p>
    <w:p w14:paraId="560DB713">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33</w:t>
      </w:r>
      <w:r>
        <w:rPr>
          <w:rFonts w:hint="eastAsia" w:ascii="仿宋" w:hAnsi="仿宋" w:eastAsia="仿宋" w:cs="仿宋"/>
          <w:sz w:val="32"/>
          <w:szCs w:val="32"/>
          <w:highlight w:val="none"/>
        </w:rPr>
        <w:t>个，截至2023年12月</w:t>
      </w:r>
      <w:r>
        <w:rPr>
          <w:rFonts w:hint="eastAsia" w:ascii="仿宋" w:hAnsi="仿宋" w:eastAsia="仿宋" w:cs="仿宋"/>
          <w:sz w:val="32"/>
          <w:szCs w:val="32"/>
          <w:highlight w:val="none"/>
          <w:lang w:val="en-US" w:eastAsia="zh-CN"/>
        </w:rPr>
        <w:t>31日</w:t>
      </w:r>
      <w:r>
        <w:rPr>
          <w:rFonts w:hint="eastAsia" w:ascii="仿宋" w:hAnsi="仿宋" w:eastAsia="仿宋" w:cs="仿宋"/>
          <w:sz w:val="32"/>
          <w:szCs w:val="32"/>
          <w:highlight w:val="none"/>
        </w:rPr>
        <w:t>，实际及时完成任务数为</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个，实际完成率为</w:t>
      </w:r>
      <w:r>
        <w:rPr>
          <w:rFonts w:hint="eastAsia" w:ascii="仿宋" w:hAnsi="仿宋" w:eastAsia="仿宋" w:cs="仿宋"/>
          <w:sz w:val="32"/>
          <w:szCs w:val="32"/>
          <w:highlight w:val="none"/>
          <w:lang w:val="en-US" w:eastAsia="zh-CN"/>
        </w:rPr>
        <w:t>87.88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本项满分4分，扣0.48分，实际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分3.52</w:t>
      </w:r>
      <w:r>
        <w:rPr>
          <w:rFonts w:hint="eastAsia" w:ascii="仿宋" w:hAnsi="仿宋" w:eastAsia="仿宋" w:cs="仿宋"/>
          <w:sz w:val="32"/>
          <w:szCs w:val="32"/>
          <w:highlight w:val="none"/>
        </w:rPr>
        <w:t>分。</w:t>
      </w:r>
    </w:p>
    <w:p w14:paraId="1E10805B">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（3）质量达标率</w:t>
      </w:r>
    </w:p>
    <w:p w14:paraId="3726C9B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sz w:val="32"/>
          <w:szCs w:val="32"/>
          <w:highlight w:val="none"/>
        </w:rPr>
        <w:t>2023年计划完成项目数为</w:t>
      </w:r>
      <w:r>
        <w:rPr>
          <w:rFonts w:hint="eastAsia" w:ascii="仿宋" w:hAnsi="仿宋" w:eastAsia="仿宋" w:cs="仿宋"/>
          <w:sz w:val="32"/>
          <w:szCs w:val="32"/>
          <w:highlight w:val="none"/>
          <w:lang w:val="en-US" w:eastAsia="zh-CN"/>
        </w:rPr>
        <w:t>33</w:t>
      </w:r>
      <w:r>
        <w:rPr>
          <w:rFonts w:hint="eastAsia" w:ascii="仿宋" w:hAnsi="仿宋" w:eastAsia="仿宋" w:cs="仿宋"/>
          <w:sz w:val="32"/>
          <w:szCs w:val="32"/>
          <w:highlight w:val="none"/>
        </w:rPr>
        <w:t>个，截至2023年12月</w:t>
      </w:r>
      <w:r>
        <w:rPr>
          <w:rFonts w:hint="eastAsia" w:ascii="仿宋" w:hAnsi="仿宋" w:eastAsia="仿宋" w:cs="仿宋"/>
          <w:sz w:val="32"/>
          <w:szCs w:val="32"/>
          <w:highlight w:val="none"/>
          <w:lang w:val="en-US" w:eastAsia="zh-CN"/>
        </w:rPr>
        <w:t>31日</w:t>
      </w:r>
      <w:r>
        <w:rPr>
          <w:rFonts w:hint="eastAsia" w:ascii="仿宋" w:hAnsi="仿宋" w:eastAsia="仿宋" w:cs="仿宋"/>
          <w:sz w:val="32"/>
          <w:szCs w:val="32"/>
          <w:highlight w:val="none"/>
        </w:rPr>
        <w:t>，实际完成工作数中达到部门绩效目标要求</w:t>
      </w:r>
      <w:r>
        <w:rPr>
          <w:rFonts w:hint="eastAsia" w:ascii="仿宋" w:hAnsi="仿宋" w:eastAsia="仿宋" w:cs="仿宋"/>
          <w:sz w:val="32"/>
          <w:szCs w:val="32"/>
          <w:highlight w:val="none"/>
          <w:lang w:val="en-US" w:eastAsia="zh-CN"/>
        </w:rPr>
        <w:t>质量的</w:t>
      </w:r>
      <w:r>
        <w:rPr>
          <w:rFonts w:hint="eastAsia" w:ascii="仿宋" w:hAnsi="仿宋" w:eastAsia="仿宋" w:cs="仿宋"/>
          <w:sz w:val="32"/>
          <w:szCs w:val="32"/>
          <w:highlight w:val="none"/>
        </w:rPr>
        <w:t>工作任务数为</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个，质量达标率</w:t>
      </w:r>
      <w:r>
        <w:rPr>
          <w:rFonts w:hint="eastAsia" w:ascii="仿宋" w:hAnsi="仿宋" w:eastAsia="仿宋" w:cs="仿宋"/>
          <w:sz w:val="32"/>
          <w:szCs w:val="32"/>
          <w:highlight w:val="none"/>
          <w:lang w:val="en-US" w:eastAsia="zh-CN"/>
        </w:rPr>
        <w:t>87.88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本项满分4分，扣0.48分，实际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分3.52</w:t>
      </w:r>
      <w:r>
        <w:rPr>
          <w:rFonts w:hint="eastAsia" w:ascii="仿宋" w:hAnsi="仿宋" w:eastAsia="仿宋" w:cs="仿宋"/>
          <w:sz w:val="32"/>
          <w:szCs w:val="32"/>
          <w:highlight w:val="none"/>
        </w:rPr>
        <w:t>分。</w:t>
      </w:r>
    </w:p>
    <w:p w14:paraId="16819E86">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（4）重点工作办结率</w:t>
      </w:r>
    </w:p>
    <w:p w14:paraId="7333F3F7">
      <w:pPr>
        <w:pStyle w:val="9"/>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sz w:val="32"/>
          <w:szCs w:val="32"/>
          <w:highlight w:val="none"/>
          <w:lang w:val="en-US" w:eastAsia="zh-CN"/>
        </w:rPr>
        <w:t>将</w:t>
      </w:r>
      <w:r>
        <w:rPr>
          <w:rFonts w:hint="eastAsia" w:ascii="仿宋" w:hAnsi="仿宋" w:eastAsia="仿宋" w:cs="仿宋"/>
          <w:sz w:val="32"/>
          <w:szCs w:val="32"/>
          <w:highlight w:val="none"/>
        </w:rPr>
        <w:t>项目支出金额大于</w:t>
      </w:r>
      <w:r>
        <w:rPr>
          <w:rFonts w:hint="eastAsia" w:ascii="仿宋" w:hAnsi="仿宋" w:eastAsia="仿宋" w:cs="仿宋"/>
          <w:sz w:val="32"/>
          <w:szCs w:val="32"/>
          <w:highlight w:val="none"/>
          <w:lang w:val="en-US" w:eastAsia="zh-CN"/>
        </w:rPr>
        <w:t>20.00</w:t>
      </w:r>
      <w:r>
        <w:rPr>
          <w:rFonts w:hint="eastAsia" w:ascii="仿宋" w:hAnsi="仿宋" w:eastAsia="仿宋" w:cs="仿宋"/>
          <w:sz w:val="32"/>
          <w:szCs w:val="32"/>
          <w:highlight w:val="none"/>
        </w:rPr>
        <w:t>万元的列为</w:t>
      </w:r>
      <w:r>
        <w:rPr>
          <w:rFonts w:hint="eastAsia" w:ascii="仿宋" w:hAnsi="仿宋" w:eastAsia="仿宋" w:cs="仿宋"/>
          <w:sz w:val="32"/>
          <w:szCs w:val="32"/>
          <w:highlight w:val="none"/>
          <w:lang w:val="en-US" w:eastAsia="zh-CN"/>
        </w:rPr>
        <w:t>重</w:t>
      </w:r>
      <w:r>
        <w:rPr>
          <w:rFonts w:hint="eastAsia" w:ascii="仿宋" w:hAnsi="仿宋" w:eastAsia="仿宋" w:cs="仿宋"/>
          <w:sz w:val="32"/>
          <w:szCs w:val="32"/>
          <w:highlight w:val="none"/>
        </w:rPr>
        <w:t>点项目，</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重</w:t>
      </w:r>
      <w:r>
        <w:rPr>
          <w:rFonts w:hint="eastAsia" w:ascii="仿宋" w:hAnsi="仿宋" w:eastAsia="仿宋" w:cs="仿宋"/>
          <w:sz w:val="32"/>
          <w:szCs w:val="32"/>
          <w:highlight w:val="none"/>
        </w:rPr>
        <w:t>点项目</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eastAsia="zh-CN"/>
        </w:rPr>
        <w:t>截至2023年</w:t>
      </w:r>
      <w:r>
        <w:rPr>
          <w:rFonts w:hint="eastAsia" w:ascii="仿宋" w:hAnsi="仿宋" w:eastAsia="仿宋" w:cs="仿宋"/>
          <w:sz w:val="32"/>
          <w:szCs w:val="32"/>
          <w:highlight w:val="none"/>
          <w:lang w:val="en-US" w:eastAsia="zh-CN"/>
        </w:rPr>
        <w:t>12月31日，11个重点项目均已完成</w:t>
      </w:r>
      <w:r>
        <w:rPr>
          <w:rFonts w:hint="eastAsia" w:ascii="仿宋" w:hAnsi="仿宋" w:eastAsia="仿宋" w:cs="仿宋"/>
          <w:sz w:val="32"/>
          <w:szCs w:val="32"/>
          <w:highlight w:val="none"/>
        </w:rPr>
        <w:t>。重点工作办结率为</w:t>
      </w:r>
      <w:r>
        <w:rPr>
          <w:rFonts w:hint="eastAsia" w:ascii="仿宋" w:hAnsi="仿宋" w:eastAsia="仿宋" w:cs="仿宋"/>
          <w:sz w:val="32"/>
          <w:szCs w:val="32"/>
          <w:highlight w:val="none"/>
          <w:lang w:val="en-US" w:eastAsia="zh-CN"/>
        </w:rPr>
        <w:t>78.57</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val="en-US" w:eastAsia="zh-CN"/>
        </w:rPr>
        <w:t>项满分4</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en-US" w:eastAsia="zh-CN"/>
        </w:rPr>
        <w:t>扣0.86分，实际</w:t>
      </w:r>
      <w:r>
        <w:rPr>
          <w:rFonts w:hint="eastAsia" w:ascii="仿宋" w:hAnsi="仿宋" w:eastAsia="仿宋" w:cs="仿宋"/>
          <w:sz w:val="32"/>
          <w:szCs w:val="32"/>
          <w:highlight w:val="none"/>
        </w:rPr>
        <w:t>得</w:t>
      </w:r>
      <w:r>
        <w:rPr>
          <w:rFonts w:hint="eastAsia" w:ascii="仿宋" w:hAnsi="仿宋" w:eastAsia="仿宋" w:cs="仿宋"/>
          <w:sz w:val="32"/>
          <w:szCs w:val="32"/>
          <w:highlight w:val="none"/>
          <w:lang w:val="en-US" w:eastAsia="zh-CN"/>
        </w:rPr>
        <w:t>分3.14</w:t>
      </w:r>
      <w:r>
        <w:rPr>
          <w:rFonts w:hint="eastAsia" w:ascii="仿宋" w:hAnsi="仿宋" w:eastAsia="仿宋" w:cs="仿宋"/>
          <w:sz w:val="32"/>
          <w:szCs w:val="32"/>
          <w:highlight w:val="none"/>
        </w:rPr>
        <w:t>分。</w:t>
      </w:r>
    </w:p>
    <w:p w14:paraId="463F0397">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outlineLvl w:val="1"/>
        <w:rPr>
          <w:rFonts w:hint="eastAsia" w:ascii="仿宋" w:hAnsi="仿宋" w:eastAsia="仿宋" w:cs="仿宋"/>
          <w:b/>
          <w:bCs/>
          <w:sz w:val="32"/>
          <w:szCs w:val="32"/>
          <w:highlight w:val="none"/>
        </w:rPr>
      </w:pPr>
      <w:bookmarkStart w:id="24" w:name="_Toc25653"/>
      <w:r>
        <w:rPr>
          <w:rFonts w:hint="eastAsia" w:ascii="仿宋" w:hAnsi="仿宋" w:eastAsia="仿宋" w:cs="仿宋"/>
          <w:b/>
          <w:bCs/>
          <w:sz w:val="32"/>
          <w:szCs w:val="32"/>
          <w:highlight w:val="none"/>
          <w:lang w:bidi="ar"/>
        </w:rPr>
        <w:t>（四）部门效益情况</w:t>
      </w:r>
      <w:bookmarkEnd w:id="24"/>
    </w:p>
    <w:p w14:paraId="4462A5B3">
      <w:pPr>
        <w:pStyle w:val="4"/>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从部门整体效果情况的履职效益方面情况进行评价，满分为20分，总得分</w:t>
      </w:r>
      <w:r>
        <w:rPr>
          <w:rFonts w:hint="eastAsia" w:ascii="仿宋" w:hAnsi="仿宋" w:eastAsia="仿宋" w:cs="仿宋"/>
          <w:sz w:val="32"/>
          <w:szCs w:val="32"/>
          <w:highlight w:val="none"/>
          <w:lang w:val="en-US" w:eastAsia="zh-CN"/>
        </w:rPr>
        <w:t>15.69</w:t>
      </w:r>
      <w:r>
        <w:rPr>
          <w:rFonts w:hint="eastAsia" w:ascii="仿宋" w:hAnsi="仿宋" w:eastAsia="仿宋" w:cs="仿宋"/>
          <w:sz w:val="32"/>
          <w:szCs w:val="32"/>
          <w:highlight w:val="none"/>
        </w:rPr>
        <w:t>分。</w:t>
      </w:r>
    </w:p>
    <w:p w14:paraId="388FE42F">
      <w:pPr>
        <w:keepNext w:val="0"/>
        <w:keepLines w:val="0"/>
        <w:pageBreakBefore w:val="0"/>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表4-4部门效果情况得分表</w:t>
      </w:r>
    </w:p>
    <w:tbl>
      <w:tblPr>
        <w:tblStyle w:val="10"/>
        <w:tblW w:w="8595" w:type="dxa"/>
        <w:jc w:val="center"/>
        <w:tblBorders>
          <w:top w:val="single" w:color="auto" w:sz="8" w:space="0"/>
          <w:left w:val="none" w:color="auto" w:sz="6" w:space="0"/>
          <w:bottom w:val="single" w:color="auto" w:sz="8" w:space="0"/>
          <w:right w:val="none" w:color="auto" w:sz="6" w:space="0"/>
          <w:insideH w:val="dotted" w:color="auto" w:sz="4" w:space="0"/>
          <w:insideV w:val="dotted" w:color="auto" w:sz="4" w:space="0"/>
        </w:tblBorders>
        <w:tblLayout w:type="fixed"/>
        <w:tblCellMar>
          <w:top w:w="0" w:type="dxa"/>
          <w:left w:w="108" w:type="dxa"/>
          <w:bottom w:w="0" w:type="dxa"/>
          <w:right w:w="108" w:type="dxa"/>
        </w:tblCellMar>
      </w:tblPr>
      <w:tblGrid>
        <w:gridCol w:w="1246"/>
        <w:gridCol w:w="704"/>
        <w:gridCol w:w="1478"/>
        <w:gridCol w:w="3098"/>
        <w:gridCol w:w="1122"/>
        <w:gridCol w:w="947"/>
      </w:tblGrid>
      <w:tr w14:paraId="0EB78E3A">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tcBorders>
              <w:top w:val="single" w:color="auto" w:sz="8" w:space="0"/>
              <w:left w:val="nil"/>
              <w:bottom w:val="dotted" w:color="auto" w:sz="4" w:space="0"/>
              <w:right w:val="dotted" w:color="auto" w:sz="4" w:space="0"/>
            </w:tcBorders>
            <w:noWrap/>
            <w:vAlign w:val="center"/>
          </w:tcPr>
          <w:p w14:paraId="24B4829A">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一级指标</w:t>
            </w:r>
          </w:p>
        </w:tc>
        <w:tc>
          <w:tcPr>
            <w:tcW w:w="704" w:type="dxa"/>
            <w:tcBorders>
              <w:top w:val="single" w:color="auto" w:sz="8" w:space="0"/>
              <w:left w:val="dotted" w:color="auto" w:sz="4" w:space="0"/>
              <w:bottom w:val="dotted" w:color="auto" w:sz="4" w:space="0"/>
              <w:right w:val="dotted" w:color="auto" w:sz="4" w:space="0"/>
            </w:tcBorders>
            <w:noWrap/>
            <w:vAlign w:val="center"/>
          </w:tcPr>
          <w:p w14:paraId="11708802">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1478" w:type="dxa"/>
            <w:tcBorders>
              <w:top w:val="single" w:color="auto" w:sz="8" w:space="0"/>
              <w:left w:val="dotted" w:color="auto" w:sz="4" w:space="0"/>
              <w:bottom w:val="dotted" w:color="auto" w:sz="4" w:space="0"/>
              <w:right w:val="dotted" w:color="auto" w:sz="4" w:space="0"/>
            </w:tcBorders>
            <w:noWrap/>
            <w:vAlign w:val="center"/>
          </w:tcPr>
          <w:p w14:paraId="643B9CCE">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二级指标</w:t>
            </w:r>
          </w:p>
        </w:tc>
        <w:tc>
          <w:tcPr>
            <w:tcW w:w="3098" w:type="dxa"/>
            <w:tcBorders>
              <w:top w:val="single" w:color="auto" w:sz="8" w:space="0"/>
              <w:left w:val="dotted" w:color="auto" w:sz="4" w:space="0"/>
              <w:bottom w:val="dotted" w:color="auto" w:sz="4" w:space="0"/>
              <w:right w:val="dotted" w:color="auto" w:sz="4" w:space="0"/>
            </w:tcBorders>
            <w:noWrap/>
            <w:vAlign w:val="center"/>
          </w:tcPr>
          <w:p w14:paraId="7D5E8FBA">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三级指标</w:t>
            </w:r>
          </w:p>
        </w:tc>
        <w:tc>
          <w:tcPr>
            <w:tcW w:w="1122" w:type="dxa"/>
            <w:tcBorders>
              <w:top w:val="single" w:color="auto" w:sz="8" w:space="0"/>
              <w:left w:val="dotted" w:color="auto" w:sz="4" w:space="0"/>
              <w:bottom w:val="dotted" w:color="auto" w:sz="4" w:space="0"/>
              <w:right w:val="dotted" w:color="auto" w:sz="4" w:space="0"/>
            </w:tcBorders>
            <w:noWrap/>
            <w:vAlign w:val="center"/>
          </w:tcPr>
          <w:p w14:paraId="77254715">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分值</w:t>
            </w:r>
          </w:p>
        </w:tc>
        <w:tc>
          <w:tcPr>
            <w:tcW w:w="947" w:type="dxa"/>
            <w:tcBorders>
              <w:top w:val="single" w:color="auto" w:sz="8" w:space="0"/>
              <w:left w:val="dotted" w:color="auto" w:sz="4" w:space="0"/>
              <w:bottom w:val="dotted" w:color="auto" w:sz="4" w:space="0"/>
              <w:right w:val="nil"/>
            </w:tcBorders>
            <w:noWrap/>
            <w:vAlign w:val="center"/>
          </w:tcPr>
          <w:p w14:paraId="395131CD">
            <w:pPr>
              <w:widowControl/>
              <w:autoSpaceDE w:val="0"/>
              <w:spacing w:before="10" w:line="240" w:lineRule="auto"/>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得分</w:t>
            </w:r>
          </w:p>
        </w:tc>
      </w:tr>
      <w:tr w14:paraId="6ED0C35B">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restart"/>
            <w:tcBorders>
              <w:top w:val="dotted" w:color="auto" w:sz="4" w:space="0"/>
              <w:left w:val="nil"/>
              <w:right w:val="dotted" w:color="auto" w:sz="4" w:space="0"/>
            </w:tcBorders>
            <w:noWrap/>
            <w:vAlign w:val="center"/>
          </w:tcPr>
          <w:p w14:paraId="31EB157C">
            <w:pPr>
              <w:rPr>
                <w:rFonts w:hint="eastAsia" w:ascii="仿宋" w:hAnsi="仿宋" w:eastAsia="仿宋" w:cs="仿宋"/>
                <w:sz w:val="24"/>
                <w:szCs w:val="24"/>
                <w:highlight w:val="none"/>
              </w:rPr>
            </w:pPr>
          </w:p>
        </w:tc>
        <w:tc>
          <w:tcPr>
            <w:tcW w:w="704" w:type="dxa"/>
            <w:vMerge w:val="restart"/>
            <w:tcBorders>
              <w:top w:val="dotted" w:color="auto" w:sz="4" w:space="0"/>
              <w:left w:val="dotted" w:color="auto" w:sz="4" w:space="0"/>
              <w:right w:val="dotted" w:color="auto" w:sz="4" w:space="0"/>
            </w:tcBorders>
            <w:noWrap/>
            <w:vAlign w:val="center"/>
          </w:tcPr>
          <w:p w14:paraId="3B76F719">
            <w:pPr>
              <w:rPr>
                <w:rFonts w:hint="eastAsia" w:ascii="仿宋" w:hAnsi="仿宋" w:eastAsia="仿宋" w:cs="仿宋"/>
                <w:sz w:val="24"/>
                <w:szCs w:val="24"/>
                <w:highlight w:val="none"/>
              </w:rPr>
            </w:pPr>
          </w:p>
        </w:tc>
        <w:tc>
          <w:tcPr>
            <w:tcW w:w="1478" w:type="dxa"/>
            <w:vMerge w:val="restart"/>
            <w:tcBorders>
              <w:top w:val="dotted" w:color="auto" w:sz="4" w:space="0"/>
              <w:left w:val="dotted" w:color="auto" w:sz="4" w:space="0"/>
              <w:right w:val="dotted" w:color="auto" w:sz="4" w:space="0"/>
            </w:tcBorders>
            <w:noWrap w:val="0"/>
            <w:vAlign w:val="center"/>
          </w:tcPr>
          <w:p w14:paraId="004AFE78">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76BE663C">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社会效益</w:t>
            </w:r>
          </w:p>
        </w:tc>
        <w:tc>
          <w:tcPr>
            <w:tcW w:w="1122" w:type="dxa"/>
            <w:tcBorders>
              <w:top w:val="dotted" w:color="auto" w:sz="4" w:space="0"/>
              <w:left w:val="dotted" w:color="auto" w:sz="4" w:space="0"/>
              <w:bottom w:val="dotted" w:color="auto" w:sz="4" w:space="0"/>
              <w:right w:val="dotted" w:color="auto" w:sz="4" w:space="0"/>
            </w:tcBorders>
            <w:noWrap/>
            <w:vAlign w:val="center"/>
          </w:tcPr>
          <w:p w14:paraId="544FA413">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947" w:type="dxa"/>
            <w:tcBorders>
              <w:top w:val="dotted" w:color="auto" w:sz="4" w:space="0"/>
              <w:left w:val="dotted" w:color="auto" w:sz="4" w:space="0"/>
              <w:bottom w:val="dotted" w:color="auto" w:sz="4" w:space="0"/>
              <w:right w:val="nil"/>
            </w:tcBorders>
            <w:noWrap/>
            <w:vAlign w:val="center"/>
          </w:tcPr>
          <w:p w14:paraId="1EB5132F">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r>
      <w:tr w14:paraId="1F26B3E1">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7F0643EA">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5CAC42B9">
            <w:pPr>
              <w:rPr>
                <w:rFonts w:hint="eastAsia" w:ascii="仿宋" w:hAnsi="仿宋" w:eastAsia="仿宋" w:cs="仿宋"/>
                <w:sz w:val="24"/>
                <w:szCs w:val="24"/>
                <w:highlight w:val="none"/>
              </w:rPr>
            </w:pPr>
          </w:p>
        </w:tc>
        <w:tc>
          <w:tcPr>
            <w:tcW w:w="1478" w:type="dxa"/>
            <w:vMerge w:val="continue"/>
            <w:tcBorders>
              <w:top w:val="dotted" w:color="auto" w:sz="4" w:space="0"/>
              <w:left w:val="dotted" w:color="auto" w:sz="4" w:space="0"/>
              <w:bottom w:val="dotted" w:color="auto" w:sz="4" w:space="0"/>
              <w:right w:val="dotted" w:color="auto" w:sz="4" w:space="0"/>
            </w:tcBorders>
            <w:noWrap w:val="0"/>
            <w:vAlign w:val="center"/>
          </w:tcPr>
          <w:p w14:paraId="1F4EDC87">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1E0A9222">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lang w:eastAsia="zh-CN" w:bidi="ar"/>
              </w:rPr>
              <w:t>可持续影响</w:t>
            </w:r>
          </w:p>
        </w:tc>
        <w:tc>
          <w:tcPr>
            <w:tcW w:w="1122" w:type="dxa"/>
            <w:tcBorders>
              <w:top w:val="dotted" w:color="auto" w:sz="4" w:space="0"/>
              <w:left w:val="dotted" w:color="auto" w:sz="4" w:space="0"/>
              <w:bottom w:val="dotted" w:color="auto" w:sz="4" w:space="0"/>
              <w:right w:val="dotted" w:color="auto" w:sz="4" w:space="0"/>
            </w:tcBorders>
            <w:noWrap/>
            <w:vAlign w:val="center"/>
          </w:tcPr>
          <w:p w14:paraId="3876AE1B">
            <w:pPr>
              <w:widowControl/>
              <w:autoSpaceDE w:val="0"/>
              <w:spacing w:line="240" w:lineRule="auto"/>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w:t>
            </w:r>
          </w:p>
        </w:tc>
        <w:tc>
          <w:tcPr>
            <w:tcW w:w="947" w:type="dxa"/>
            <w:tcBorders>
              <w:top w:val="dotted" w:color="auto" w:sz="4" w:space="0"/>
              <w:left w:val="dotted" w:color="auto" w:sz="4" w:space="0"/>
              <w:bottom w:val="dotted" w:color="auto" w:sz="4" w:space="0"/>
              <w:right w:val="nil"/>
            </w:tcBorders>
            <w:noWrap/>
            <w:vAlign w:val="center"/>
          </w:tcPr>
          <w:p w14:paraId="124C93EC">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r>
      <w:tr w14:paraId="3DEE4509">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1246" w:type="dxa"/>
            <w:vMerge w:val="continue"/>
            <w:tcBorders>
              <w:top w:val="dotted" w:color="auto" w:sz="4" w:space="0"/>
              <w:left w:val="nil"/>
              <w:bottom w:val="dotted" w:color="auto" w:sz="4" w:space="0"/>
              <w:right w:val="dotted" w:color="auto" w:sz="4" w:space="0"/>
            </w:tcBorders>
            <w:noWrap/>
            <w:vAlign w:val="center"/>
          </w:tcPr>
          <w:p w14:paraId="622D4273">
            <w:pPr>
              <w:rPr>
                <w:rFonts w:hint="eastAsia" w:ascii="仿宋" w:hAnsi="仿宋" w:eastAsia="仿宋" w:cs="仿宋"/>
                <w:sz w:val="24"/>
                <w:szCs w:val="24"/>
                <w:highlight w:val="none"/>
              </w:rPr>
            </w:pPr>
          </w:p>
        </w:tc>
        <w:tc>
          <w:tcPr>
            <w:tcW w:w="704" w:type="dxa"/>
            <w:vMerge w:val="continue"/>
            <w:tcBorders>
              <w:top w:val="dotted" w:color="auto" w:sz="4" w:space="0"/>
              <w:left w:val="dotted" w:color="auto" w:sz="4" w:space="0"/>
              <w:bottom w:val="dotted" w:color="auto" w:sz="4" w:space="0"/>
              <w:right w:val="dotted" w:color="auto" w:sz="4" w:space="0"/>
            </w:tcBorders>
            <w:noWrap/>
            <w:vAlign w:val="center"/>
          </w:tcPr>
          <w:p w14:paraId="417254A5">
            <w:pPr>
              <w:rPr>
                <w:rFonts w:hint="eastAsia" w:ascii="仿宋" w:hAnsi="仿宋" w:eastAsia="仿宋" w:cs="仿宋"/>
                <w:sz w:val="24"/>
                <w:szCs w:val="24"/>
                <w:highlight w:val="none"/>
              </w:rPr>
            </w:pPr>
          </w:p>
        </w:tc>
        <w:tc>
          <w:tcPr>
            <w:tcW w:w="1478" w:type="dxa"/>
            <w:vMerge w:val="continue"/>
            <w:tcBorders>
              <w:top w:val="dotted" w:color="auto" w:sz="4" w:space="0"/>
              <w:left w:val="dotted" w:color="auto" w:sz="4" w:space="0"/>
              <w:bottom w:val="dotted" w:color="auto" w:sz="4" w:space="0"/>
              <w:right w:val="dotted" w:color="auto" w:sz="4" w:space="0"/>
            </w:tcBorders>
            <w:noWrap w:val="0"/>
            <w:vAlign w:val="center"/>
          </w:tcPr>
          <w:p w14:paraId="428EA84B">
            <w:pPr>
              <w:rPr>
                <w:rFonts w:hint="eastAsia" w:ascii="仿宋" w:hAnsi="仿宋" w:eastAsia="仿宋" w:cs="仿宋"/>
                <w:sz w:val="24"/>
                <w:szCs w:val="24"/>
                <w:highlight w:val="none"/>
              </w:rPr>
            </w:pPr>
          </w:p>
        </w:tc>
        <w:tc>
          <w:tcPr>
            <w:tcW w:w="3098" w:type="dxa"/>
            <w:tcBorders>
              <w:top w:val="dotted" w:color="auto" w:sz="4" w:space="0"/>
              <w:left w:val="dotted" w:color="auto" w:sz="4" w:space="0"/>
              <w:bottom w:val="dotted" w:color="auto" w:sz="4" w:space="0"/>
              <w:right w:val="dotted" w:color="auto" w:sz="4" w:space="0"/>
            </w:tcBorders>
            <w:noWrap/>
            <w:vAlign w:val="center"/>
          </w:tcPr>
          <w:p w14:paraId="35FFCB94">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社会公众或服务对象满意度</w:t>
            </w:r>
          </w:p>
        </w:tc>
        <w:tc>
          <w:tcPr>
            <w:tcW w:w="1122" w:type="dxa"/>
            <w:tcBorders>
              <w:top w:val="dotted" w:color="auto" w:sz="4" w:space="0"/>
              <w:left w:val="dotted" w:color="auto" w:sz="4" w:space="0"/>
              <w:bottom w:val="dotted" w:color="auto" w:sz="4" w:space="0"/>
              <w:right w:val="dotted" w:color="auto" w:sz="4" w:space="0"/>
            </w:tcBorders>
            <w:noWrap/>
            <w:vAlign w:val="center"/>
          </w:tcPr>
          <w:p w14:paraId="12C8DFAA">
            <w:pPr>
              <w:widowControl/>
              <w:autoSpaceDE w:val="0"/>
              <w:spacing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5</w:t>
            </w:r>
          </w:p>
        </w:tc>
        <w:tc>
          <w:tcPr>
            <w:tcW w:w="947" w:type="dxa"/>
            <w:tcBorders>
              <w:top w:val="dotted" w:color="auto" w:sz="4" w:space="0"/>
              <w:left w:val="dotted" w:color="auto" w:sz="4" w:space="0"/>
              <w:bottom w:val="dotted" w:color="auto" w:sz="4" w:space="0"/>
              <w:right w:val="nil"/>
            </w:tcBorders>
            <w:noWrap/>
            <w:vAlign w:val="center"/>
          </w:tcPr>
          <w:p w14:paraId="4920BCF0">
            <w:pPr>
              <w:widowControl/>
              <w:autoSpaceDE w:val="0"/>
              <w:spacing w:before="10"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4.69</w:t>
            </w:r>
          </w:p>
        </w:tc>
      </w:tr>
      <w:tr w14:paraId="68D6591A">
        <w:tblPrEx>
          <w:tblBorders>
            <w:top w:val="single" w:color="auto" w:sz="8" w:space="0"/>
            <w:left w:val="none" w:color="auto" w:sz="6" w:space="0"/>
            <w:bottom w:val="single" w:color="auto" w:sz="8" w:space="0"/>
            <w:right w:val="none" w:color="auto" w:sz="6" w:space="0"/>
            <w:insideH w:val="dotted" w:color="auto" w:sz="4" w:space="0"/>
            <w:insideV w:val="dotted" w:color="auto" w:sz="4" w:space="0"/>
          </w:tblBorders>
          <w:tblCellMar>
            <w:top w:w="0" w:type="dxa"/>
            <w:left w:w="108" w:type="dxa"/>
            <w:bottom w:w="0" w:type="dxa"/>
            <w:right w:w="108" w:type="dxa"/>
          </w:tblCellMar>
        </w:tblPrEx>
        <w:trPr>
          <w:trHeight w:val="386" w:hRule="atLeast"/>
          <w:jc w:val="center"/>
        </w:trPr>
        <w:tc>
          <w:tcPr>
            <w:tcW w:w="6526" w:type="dxa"/>
            <w:gridSpan w:val="4"/>
            <w:tcBorders>
              <w:top w:val="dotted" w:color="auto" w:sz="4" w:space="0"/>
              <w:left w:val="nil"/>
              <w:bottom w:val="single" w:color="auto" w:sz="8" w:space="0"/>
              <w:right w:val="dotted" w:color="auto" w:sz="4" w:space="0"/>
            </w:tcBorders>
            <w:noWrap/>
            <w:vAlign w:val="center"/>
          </w:tcPr>
          <w:p w14:paraId="4DBBA1A7">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合计</w:t>
            </w:r>
          </w:p>
        </w:tc>
        <w:tc>
          <w:tcPr>
            <w:tcW w:w="1122" w:type="dxa"/>
            <w:tcBorders>
              <w:top w:val="dotted" w:color="auto" w:sz="4" w:space="0"/>
              <w:left w:val="dotted" w:color="auto" w:sz="4" w:space="0"/>
              <w:bottom w:val="single" w:color="auto" w:sz="8" w:space="0"/>
              <w:right w:val="dotted" w:color="auto" w:sz="4" w:space="0"/>
            </w:tcBorders>
            <w:noWrap/>
            <w:vAlign w:val="center"/>
          </w:tcPr>
          <w:p w14:paraId="6B474248">
            <w:pPr>
              <w:widowControl/>
              <w:autoSpaceDE w:val="0"/>
              <w:spacing w:before="10" w:line="240" w:lineRule="auto"/>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bidi="ar"/>
              </w:rPr>
              <w:t>20</w:t>
            </w:r>
          </w:p>
        </w:tc>
        <w:tc>
          <w:tcPr>
            <w:tcW w:w="947" w:type="dxa"/>
            <w:tcBorders>
              <w:top w:val="dotted" w:color="auto" w:sz="4" w:space="0"/>
              <w:left w:val="dotted" w:color="auto" w:sz="4" w:space="0"/>
              <w:bottom w:val="single" w:color="auto" w:sz="8" w:space="0"/>
              <w:right w:val="nil"/>
            </w:tcBorders>
            <w:noWrap/>
            <w:vAlign w:val="center"/>
          </w:tcPr>
          <w:p w14:paraId="649FF285">
            <w:pPr>
              <w:widowControl/>
              <w:autoSpaceDE w:val="0"/>
              <w:spacing w:before="10" w:line="240" w:lineRule="auto"/>
              <w:jc w:val="center"/>
              <w:textAlignment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15.69</w:t>
            </w:r>
          </w:p>
        </w:tc>
      </w:tr>
    </w:tbl>
    <w:p w14:paraId="1E83F2A4">
      <w:pPr>
        <w:pStyle w:val="9"/>
        <w:keepNext w:val="0"/>
        <w:keepLines w:val="0"/>
        <w:pageBreakBefore w:val="0"/>
        <w:widowControl/>
        <w:kinsoku/>
        <w:wordWrap/>
        <w:overflowPunct/>
        <w:topLinePunct w:val="0"/>
        <w:autoSpaceDE w:val="0"/>
        <w:autoSpaceDN/>
        <w:bidi w:val="0"/>
        <w:adjustRightInd/>
        <w:snapToGrid/>
        <w:spacing w:before="0" w:beforeLines="0" w:beforeAutospacing="0" w:after="0" w:afterLines="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lang w:bidi="ar"/>
        </w:rPr>
        <w:t>）社会效益</w:t>
      </w:r>
    </w:p>
    <w:p w14:paraId="1CF0632F">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bidi="ar"/>
        </w:rPr>
        <w:t>2023年</w:t>
      </w:r>
      <w:r>
        <w:rPr>
          <w:rFonts w:hint="eastAsia" w:ascii="仿宋" w:hAnsi="仿宋" w:eastAsia="仿宋" w:cs="仿宋"/>
          <w:kern w:val="2"/>
          <w:sz w:val="32"/>
          <w:szCs w:val="32"/>
          <w:lang w:val="en-US" w:eastAsia="zh-CN" w:bidi="ar"/>
        </w:rPr>
        <w:t>市应急管理局</w:t>
      </w:r>
      <w:r>
        <w:rPr>
          <w:rFonts w:hint="eastAsia" w:ascii="仿宋" w:hAnsi="仿宋" w:eastAsia="仿宋" w:cs="仿宋"/>
          <w:sz w:val="32"/>
          <w:szCs w:val="32"/>
          <w:highlight w:val="none"/>
          <w:lang w:bidi="ar"/>
        </w:rPr>
        <w:t>履行部门相关职责，</w:t>
      </w:r>
      <w:r>
        <w:rPr>
          <w:rFonts w:hint="eastAsia" w:ascii="仿宋" w:hAnsi="仿宋" w:eastAsia="仿宋" w:cs="仿宋"/>
          <w:sz w:val="32"/>
          <w:szCs w:val="32"/>
          <w:highlight w:val="none"/>
          <w:lang w:eastAsia="zh-CN" w:bidi="ar"/>
        </w:rPr>
        <w:t>2023年，先后组织召开安全防范部署会、重大事故隐患专项整治部署会等14次，认真研判分析安全生产形势，落实安全生产责任；制定印发《林芝市岁末年初安全生产重大隐患专项整治方案》《林芝市重大事故隐患专项整治2023年行动方案》《关于国庆节前后开展公共安全领域督导检查和重点建设项目安全生产联合执法检查工作方案的通知》等文件50余份，督促各单位落实安全生产责任，统筹抓好道路交通、建筑施工、铁路施工等领域安全风险防范和森林草原防灭火等工作，确保安全生产和防灾减灾形势总体稳定。扎实开展</w:t>
      </w:r>
      <w:r>
        <w:rPr>
          <w:rFonts w:hint="eastAsia" w:ascii="仿宋" w:hAnsi="仿宋" w:eastAsia="仿宋" w:cs="仿宋"/>
          <w:sz w:val="32"/>
          <w:szCs w:val="32"/>
          <w:highlight w:val="none"/>
          <w:lang w:val="zh-CN" w:eastAsia="zh-CN" w:bidi="ar"/>
        </w:rPr>
        <w:t>重大事故隐患专项整治行动</w:t>
      </w:r>
      <w:r>
        <w:rPr>
          <w:rFonts w:hint="eastAsia" w:ascii="仿宋" w:hAnsi="仿宋" w:eastAsia="仿宋" w:cs="仿宋"/>
          <w:sz w:val="32"/>
          <w:szCs w:val="32"/>
          <w:highlight w:val="none"/>
          <w:lang w:val="en-US" w:eastAsia="zh-CN" w:bidi="ar"/>
        </w:rPr>
        <w:t>。全市累计检查企业（单位）11644家次，帮扶指导重点企业1405余家次，排查重大隐患107个，已整改107个，警示约谈曝光189家次，责令停产停业整顿企业31家，及时消除一大批安全隐患。在全区率先出台《林芝市党政部门安全生产工作职责》《林芝市政府领导安全生产和防灾减灾职责任务清单》《林芝市关于进一步明确新兴行业领域安全监管职责分工的通知》《林芝市安全生产监管分级分类实施办法》等4项制度机制，安全监管责任进一步压实。</w:t>
      </w:r>
      <w:r>
        <w:rPr>
          <w:rFonts w:hint="eastAsia" w:ascii="仿宋" w:hAnsi="仿宋" w:eastAsia="仿宋" w:cs="仿宋"/>
          <w:color w:val="000000"/>
          <w:sz w:val="32"/>
          <w:szCs w:val="32"/>
          <w:highlight w:val="none"/>
          <w:shd w:val="clear" w:color="auto" w:fill="auto"/>
          <w:lang w:val="en-US" w:eastAsia="zh-CN" w:bidi="ar"/>
        </w:rPr>
        <w:t>社会效益较显著。本项</w:t>
      </w:r>
      <w:r>
        <w:rPr>
          <w:rFonts w:hint="eastAsia" w:ascii="仿宋" w:hAnsi="仿宋" w:eastAsia="仿宋" w:cs="仿宋"/>
          <w:sz w:val="32"/>
          <w:szCs w:val="32"/>
          <w:highlight w:val="none"/>
          <w:lang w:val="en-US" w:eastAsia="zh-CN" w:bidi="ar"/>
        </w:rPr>
        <w:t>满分8分，扣2分，实际得分6分。</w:t>
      </w:r>
    </w:p>
    <w:p w14:paraId="6C4F6250">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lang w:bidi="ar"/>
        </w:rPr>
        <w:t>）可持续影响或生态效益</w:t>
      </w:r>
    </w:p>
    <w:p w14:paraId="6A6CF1FD">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eastAsia="zh-CN" w:bidi="ar"/>
        </w:rPr>
        <w:t>在全区率先成立应急管理专家库；率先在引导社会力量参与应急救援，2023年3月，我局与77251部队、 市边境管理支队、安能集团等12家应急救援联动单位签订了联动协议并进行授牌。三是着力打造全区航空应急救援示范区。立足林芝市创建全区改革开放先行区目标定位，本着“先行先试”的原则，着力发展航空应急救援能力建设。探索“直升机+消防员+吊桶”救援模式，成立全区首支航空救援分队，组织开展吊桶洒水、机降、索（滑）降等科目训练；制定了灾情侦察程序、航空救援任务执行程序等6条程序制度，逐步实现航空应急救援规范化；成功处置了“1·17”雪崩灾害救援、“应急使命—2023”抗震救灾演练、米林县加拉村侦察堰塞湖灾情巡查并转运被困群众16人等工作任务，全方位打造全区航空应急救援示范区。扎实开展教育培训，成功举办林芝市2023年烟花爆竹经营安全视频培训会、危化品企业安全生产标准化培训班、行政执法业务专题  培训班和应急救援能力提升培训班，累计280余人次参加培训，提升安全生产业务知识和应急处置能力。持续加强宣传力度，依托“5·12”防灾减灾周、安全生产月等活动载体，持续推进安全生产“五进”以及事故警示教育活动，道路交通、消防安全、危化、燃气安全、建筑施工、森林防火、旅游安全等重点领域开展安全生产宣传活动1530余场次，推送宣传短信350余万条，多角度、立体化宣传安全生产和防灾减灾知识</w:t>
      </w:r>
      <w:r>
        <w:rPr>
          <w:rFonts w:hint="eastAsia" w:ascii="仿宋" w:hAnsi="仿宋" w:eastAsia="仿宋" w:cs="仿宋"/>
          <w:sz w:val="32"/>
          <w:szCs w:val="32"/>
          <w:highlight w:val="none"/>
          <w:lang w:val="en-US" w:eastAsia="zh-CN" w:bidi="ar"/>
        </w:rPr>
        <w:t>。</w:t>
      </w:r>
      <w:r>
        <w:rPr>
          <w:rFonts w:hint="eastAsia" w:ascii="仿宋" w:hAnsi="仿宋" w:eastAsia="仿宋" w:cs="仿宋"/>
          <w:sz w:val="32"/>
          <w:szCs w:val="32"/>
          <w:highlight w:val="none"/>
          <w:lang w:eastAsia="zh-CN" w:bidi="ar"/>
        </w:rPr>
        <w:t>可持续影响</w:t>
      </w:r>
      <w:r>
        <w:rPr>
          <w:rFonts w:hint="eastAsia" w:ascii="仿宋" w:hAnsi="仿宋" w:eastAsia="仿宋" w:cs="仿宋"/>
          <w:sz w:val="32"/>
          <w:szCs w:val="32"/>
          <w:highlight w:val="none"/>
          <w:lang w:val="en-US" w:eastAsia="zh-CN" w:bidi="ar"/>
        </w:rPr>
        <w:t>较显著，本项满分7分，扣2分，实际得分5分。</w:t>
      </w:r>
    </w:p>
    <w:p w14:paraId="74444746">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（3）社会公众或服务对象满意度</w:t>
      </w:r>
    </w:p>
    <w:p w14:paraId="34F68342">
      <w:pPr>
        <w:pStyle w:val="9"/>
        <w:keepNext w:val="0"/>
        <w:keepLines w:val="0"/>
        <w:pageBreakBefore w:val="0"/>
        <w:widowControl/>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bidi="ar"/>
        </w:rPr>
        <w:t>经统计，2023年</w:t>
      </w:r>
      <w:r>
        <w:rPr>
          <w:rFonts w:hint="eastAsia" w:ascii="仿宋" w:hAnsi="仿宋" w:eastAsia="仿宋" w:cs="仿宋"/>
          <w:kern w:val="2"/>
          <w:sz w:val="32"/>
          <w:szCs w:val="32"/>
          <w:lang w:val="en-US" w:eastAsia="zh-CN" w:bidi="ar"/>
        </w:rPr>
        <w:t>市应急管理局</w:t>
      </w:r>
      <w:r>
        <w:rPr>
          <w:rFonts w:hint="eastAsia" w:ascii="仿宋" w:hAnsi="仿宋" w:eastAsia="仿宋" w:cs="仿宋"/>
          <w:sz w:val="32"/>
          <w:szCs w:val="32"/>
          <w:highlight w:val="none"/>
          <w:lang w:val="en-US" w:eastAsia="zh-CN" w:bidi="ar"/>
        </w:rPr>
        <w:t>社会满意度调查问卷显示满意度为93.84%。满分5分，扣0.31分，实际得分4.69分。</w:t>
      </w:r>
    </w:p>
    <w:p w14:paraId="38029D4A">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color w:val="000000"/>
          <w:kern w:val="0"/>
          <w:sz w:val="32"/>
          <w:szCs w:val="32"/>
          <w:highlight w:val="none"/>
          <w:lang w:val="en-US" w:eastAsia="zh-CN" w:bidi="ar"/>
        </w:rPr>
      </w:pPr>
      <w:bookmarkStart w:id="25" w:name="_Toc24090"/>
      <w:r>
        <w:rPr>
          <w:rFonts w:hint="eastAsia" w:ascii="仿宋" w:hAnsi="仿宋" w:eastAsia="仿宋" w:cs="仿宋"/>
          <w:b/>
          <w:sz w:val="32"/>
          <w:szCs w:val="32"/>
          <w:highlight w:val="none"/>
        </w:rPr>
        <w:t>主要问题分析</w:t>
      </w:r>
      <w:bookmarkEnd w:id="25"/>
    </w:p>
    <w:p w14:paraId="7E58EE79">
      <w:pPr>
        <w:keepNext w:val="0"/>
        <w:keepLines w:val="0"/>
        <w:pageBreakBefore w:val="0"/>
        <w:widowControl w:val="0"/>
        <w:tabs>
          <w:tab w:val="left" w:pos="360"/>
        </w:tabs>
        <w:kinsoku/>
        <w:wordWrap/>
        <w:overflowPunct/>
        <w:topLinePunct w:val="0"/>
        <w:autoSpaceDE w:val="0"/>
        <w:autoSpaceDN/>
        <w:bidi w:val="0"/>
        <w:adjustRightInd/>
        <w:snapToGrid/>
        <w:ind w:firstLine="640" w:firstLineChars="200"/>
        <w:jc w:val="left"/>
        <w:textAlignment w:val="auto"/>
        <w:outlineLvl w:val="1"/>
        <w:rPr>
          <w:rFonts w:hint="eastAsia" w:ascii="仿宋" w:hAnsi="仿宋" w:eastAsia="仿宋" w:cs="仿宋"/>
          <w:color w:val="000000"/>
          <w:kern w:val="0"/>
          <w:sz w:val="32"/>
          <w:szCs w:val="32"/>
          <w:highlight w:val="none"/>
          <w:lang w:val="en-US" w:eastAsia="zh-CN" w:bidi="ar"/>
        </w:rPr>
      </w:pPr>
      <w:bookmarkStart w:id="26" w:name="_Toc1488"/>
      <w:bookmarkStart w:id="27" w:name="_Toc4121"/>
      <w:r>
        <w:rPr>
          <w:rFonts w:hint="eastAsia" w:ascii="仿宋" w:hAnsi="仿宋" w:eastAsia="仿宋" w:cs="仿宋"/>
          <w:color w:val="000000"/>
          <w:kern w:val="0"/>
          <w:sz w:val="32"/>
          <w:szCs w:val="32"/>
          <w:highlight w:val="none"/>
          <w:lang w:val="en-US" w:eastAsia="zh-CN" w:bidi="ar"/>
        </w:rPr>
        <w:t>（一）</w:t>
      </w:r>
      <w:bookmarkEnd w:id="26"/>
      <w:r>
        <w:rPr>
          <w:rFonts w:hint="eastAsia" w:ascii="仿宋" w:hAnsi="仿宋" w:eastAsia="仿宋" w:cs="仿宋"/>
          <w:color w:val="000000"/>
          <w:kern w:val="0"/>
          <w:sz w:val="32"/>
          <w:szCs w:val="32"/>
          <w:highlight w:val="none"/>
          <w:lang w:val="en-US" w:eastAsia="zh-CN" w:bidi="ar"/>
        </w:rPr>
        <w:t>人员编制方面</w:t>
      </w:r>
      <w:bookmarkEnd w:id="27"/>
    </w:p>
    <w:p w14:paraId="595473A9">
      <w:pPr>
        <w:keepNext w:val="0"/>
        <w:keepLines w:val="0"/>
        <w:pageBreakBefore w:val="0"/>
        <w:widowControl/>
        <w:numPr>
          <w:ilvl w:val="0"/>
          <w:numId w:val="0"/>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color w:val="000000"/>
          <w:kern w:val="0"/>
          <w:sz w:val="32"/>
          <w:szCs w:val="32"/>
          <w:highlight w:val="yellow"/>
          <w:lang w:val="en-US" w:eastAsia="zh-CN" w:bidi="ar"/>
        </w:rPr>
      </w:pPr>
      <w:r>
        <w:rPr>
          <w:rFonts w:hint="eastAsia" w:ascii="仿宋" w:hAnsi="仿宋" w:eastAsia="仿宋" w:cs="仿宋"/>
          <w:color w:val="000000"/>
          <w:kern w:val="2"/>
          <w:sz w:val="32"/>
          <w:szCs w:val="32"/>
          <w:highlight w:val="none"/>
          <w:lang w:val="en-US" w:eastAsia="zh-CN" w:bidi="ar-SA"/>
        </w:rPr>
        <w:t>根据“三定方案”，</w:t>
      </w:r>
      <w:r>
        <w:rPr>
          <w:rFonts w:hint="eastAsia" w:ascii="仿宋" w:hAnsi="仿宋" w:eastAsia="仿宋" w:cs="仿宋"/>
          <w:kern w:val="2"/>
          <w:sz w:val="32"/>
          <w:szCs w:val="32"/>
          <w:lang w:val="en-US" w:eastAsia="zh-CN" w:bidi="ar"/>
        </w:rPr>
        <w:t>市应急管理局</w:t>
      </w:r>
      <w:r>
        <w:rPr>
          <w:rFonts w:hint="eastAsia" w:ascii="仿宋" w:hAnsi="仿宋" w:eastAsia="仿宋" w:cs="仿宋"/>
          <w:color w:val="000000"/>
          <w:kern w:val="2"/>
          <w:sz w:val="32"/>
          <w:szCs w:val="32"/>
          <w:highlight w:val="none"/>
          <w:lang w:val="en-US" w:eastAsia="zh-CN" w:bidi="ar-SA"/>
        </w:rPr>
        <w:t>人员</w:t>
      </w:r>
      <w:r>
        <w:rPr>
          <w:rFonts w:hint="eastAsia" w:ascii="仿宋" w:hAnsi="仿宋" w:eastAsia="仿宋" w:cs="仿宋"/>
          <w:color w:val="000000"/>
          <w:kern w:val="0"/>
          <w:sz w:val="32"/>
          <w:szCs w:val="32"/>
          <w:highlight w:val="none"/>
          <w:lang w:val="en-US" w:eastAsia="zh-CN" w:bidi="ar"/>
        </w:rPr>
        <w:t>编制人数共计24名，</w:t>
      </w:r>
      <w:r>
        <w:rPr>
          <w:rFonts w:hint="eastAsia" w:ascii="仿宋" w:hAnsi="仿宋" w:eastAsia="仿宋" w:cs="仿宋"/>
          <w:b w:val="0"/>
          <w:bCs w:val="0"/>
          <w:i w:val="0"/>
          <w:iCs w:val="0"/>
          <w:caps w:val="0"/>
          <w:color w:val="000000"/>
          <w:spacing w:val="0"/>
          <w:kern w:val="0"/>
          <w:sz w:val="32"/>
          <w:szCs w:val="32"/>
          <w:highlight w:val="none"/>
          <w:lang w:val="en-US" w:eastAsia="zh-CN"/>
        </w:rPr>
        <w:t>2023年末在职职工人数共计39人</w:t>
      </w:r>
      <w:r>
        <w:rPr>
          <w:rFonts w:hint="eastAsia" w:ascii="仿宋" w:hAnsi="仿宋" w:eastAsia="仿宋" w:cs="仿宋"/>
          <w:b w:val="0"/>
          <w:bCs w:val="0"/>
          <w:i w:val="0"/>
          <w:iCs w:val="0"/>
          <w:caps w:val="0"/>
          <w:color w:val="000000"/>
          <w:spacing w:val="0"/>
          <w:kern w:val="0"/>
          <w:sz w:val="32"/>
          <w:szCs w:val="32"/>
          <w:lang w:val="en-US" w:eastAsia="zh-CN"/>
        </w:rPr>
        <w:t>。</w:t>
      </w:r>
      <w:r>
        <w:rPr>
          <w:rFonts w:hint="eastAsia" w:ascii="仿宋" w:hAnsi="仿宋" w:eastAsia="仿宋" w:cs="仿宋"/>
          <w:color w:val="000000"/>
          <w:kern w:val="2"/>
          <w:sz w:val="32"/>
          <w:szCs w:val="32"/>
          <w:highlight w:val="none"/>
          <w:lang w:val="en-US" w:eastAsia="zh-CN" w:bidi="ar-SA"/>
        </w:rPr>
        <w:t>编制</w:t>
      </w:r>
      <w:r>
        <w:rPr>
          <w:rFonts w:hint="eastAsia" w:ascii="仿宋" w:hAnsi="仿宋" w:eastAsia="仿宋" w:cs="仿宋"/>
          <w:color w:val="000000"/>
          <w:kern w:val="2"/>
          <w:sz w:val="32"/>
          <w:szCs w:val="32"/>
          <w:highlight w:val="none"/>
          <w:lang w:val="en-US" w:eastAsia="zh" w:bidi="ar-SA"/>
        </w:rPr>
        <w:t>存在</w:t>
      </w:r>
      <w:r>
        <w:rPr>
          <w:rFonts w:hint="eastAsia" w:ascii="仿宋" w:hAnsi="仿宋" w:eastAsia="仿宋" w:cs="仿宋"/>
          <w:color w:val="000000"/>
          <w:kern w:val="2"/>
          <w:sz w:val="32"/>
          <w:szCs w:val="32"/>
          <w:highlight w:val="none"/>
          <w:lang w:val="en-US" w:eastAsia="zh-CN" w:bidi="ar-SA"/>
        </w:rPr>
        <w:t>超编</w:t>
      </w:r>
      <w:r>
        <w:rPr>
          <w:rFonts w:hint="eastAsia" w:ascii="仿宋" w:hAnsi="仿宋" w:eastAsia="仿宋" w:cs="仿宋"/>
          <w:color w:val="000000"/>
          <w:kern w:val="2"/>
          <w:sz w:val="32"/>
          <w:szCs w:val="32"/>
          <w:highlight w:val="none"/>
          <w:lang w:val="en-US" w:eastAsia="zh" w:bidi="ar-SA"/>
        </w:rPr>
        <w:t>现象。</w:t>
      </w:r>
    </w:p>
    <w:p w14:paraId="23640F23">
      <w:pPr>
        <w:keepNext w:val="0"/>
        <w:keepLines w:val="0"/>
        <w:pageBreakBefore w:val="0"/>
        <w:widowControl w:val="0"/>
        <w:tabs>
          <w:tab w:val="left" w:pos="360"/>
        </w:tabs>
        <w:kinsoku/>
        <w:wordWrap/>
        <w:overflowPunct/>
        <w:topLinePunct w:val="0"/>
        <w:autoSpaceDE w:val="0"/>
        <w:autoSpaceDN/>
        <w:bidi w:val="0"/>
        <w:adjustRightInd/>
        <w:snapToGrid/>
        <w:ind w:firstLine="640" w:firstLineChars="200"/>
        <w:jc w:val="left"/>
        <w:textAlignment w:val="auto"/>
        <w:outlineLvl w:val="1"/>
        <w:rPr>
          <w:rFonts w:hint="eastAsia" w:ascii="仿宋" w:hAnsi="仿宋" w:eastAsia="仿宋" w:cs="仿宋"/>
          <w:color w:val="000000"/>
          <w:kern w:val="0"/>
          <w:sz w:val="32"/>
          <w:szCs w:val="32"/>
          <w:highlight w:val="none"/>
          <w:lang w:val="en-US" w:eastAsia="zh-CN" w:bidi="ar"/>
        </w:rPr>
      </w:pPr>
      <w:bookmarkStart w:id="28" w:name="_Toc5891"/>
      <w:r>
        <w:rPr>
          <w:rFonts w:hint="eastAsia" w:ascii="仿宋" w:hAnsi="仿宋" w:eastAsia="仿宋" w:cs="仿宋"/>
          <w:color w:val="000000"/>
          <w:kern w:val="0"/>
          <w:sz w:val="32"/>
          <w:szCs w:val="32"/>
          <w:highlight w:val="none"/>
          <w:lang w:val="en-US" w:eastAsia="zh-CN" w:bidi="ar"/>
        </w:rPr>
        <w:t>（二）预算管理方面</w:t>
      </w:r>
      <w:bookmarkEnd w:id="28"/>
    </w:p>
    <w:p w14:paraId="0D111D95">
      <w:pPr>
        <w:keepNext w:val="0"/>
        <w:keepLines w:val="0"/>
        <w:pageBreakBefore w:val="0"/>
        <w:widowControl w:val="0"/>
        <w:numPr>
          <w:ilvl w:val="0"/>
          <w:numId w:val="0"/>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9"/>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kern w:val="2"/>
          <w:sz w:val="32"/>
          <w:szCs w:val="32"/>
          <w:lang w:val="en-US" w:eastAsia="zh-CN" w:bidi="ar"/>
        </w:rPr>
        <w:t>市应急管理局</w:t>
      </w:r>
      <w:r>
        <w:rPr>
          <w:rFonts w:hint="eastAsia" w:ascii="仿宋" w:hAnsi="仿宋" w:eastAsia="仿宋" w:cs="仿宋"/>
          <w:color w:val="000000"/>
          <w:kern w:val="0"/>
          <w:sz w:val="32"/>
          <w:szCs w:val="32"/>
          <w:highlight w:val="none"/>
          <w:lang w:val="en-US" w:eastAsia="zh-CN" w:bidi="ar"/>
        </w:rPr>
        <w:t>的“三公经费”变动率为21.37%，三公经费变动率较大；</w:t>
      </w:r>
      <w:r>
        <w:rPr>
          <w:rFonts w:hint="eastAsia" w:ascii="仿宋" w:hAnsi="仿宋" w:eastAsia="仿宋" w:cs="仿宋"/>
          <w:b w:val="0"/>
          <w:bCs/>
          <w:color w:val="auto"/>
          <w:kern w:val="2"/>
          <w:sz w:val="32"/>
          <w:szCs w:val="32"/>
          <w:highlight w:val="none"/>
          <w:lang w:val="en-US" w:eastAsia="zh-CN" w:bidi="ar"/>
        </w:rPr>
        <w:t>预算完成率为29.51%，预算完成率低；</w:t>
      </w:r>
      <w:r>
        <w:rPr>
          <w:rFonts w:hint="eastAsia" w:ascii="仿宋" w:hAnsi="仿宋" w:eastAsia="仿宋" w:cs="仿宋"/>
          <w:color w:val="000000"/>
          <w:kern w:val="0"/>
          <w:sz w:val="32"/>
          <w:szCs w:val="32"/>
          <w:highlight w:val="none"/>
          <w:lang w:val="en-US" w:eastAsia="zh-CN" w:bidi="ar"/>
        </w:rPr>
        <w:t>预算调整率为81.60%，预算调整率过高；结转结余率70.49%，结转结余率高；结转结余变动率为626.20%，结转结余变动过高。</w:t>
      </w:r>
    </w:p>
    <w:p w14:paraId="144C6203">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sz w:val="32"/>
          <w:szCs w:val="32"/>
          <w:highlight w:val="none"/>
        </w:rPr>
      </w:pPr>
      <w:bookmarkStart w:id="29" w:name="_Toc30662"/>
      <w:r>
        <w:rPr>
          <w:rFonts w:hint="eastAsia" w:ascii="仿宋" w:hAnsi="仿宋" w:eastAsia="仿宋" w:cs="仿宋"/>
          <w:b/>
          <w:sz w:val="32"/>
          <w:szCs w:val="32"/>
          <w:highlight w:val="none"/>
        </w:rPr>
        <w:t>相关建议</w:t>
      </w:r>
      <w:bookmarkEnd w:id="29"/>
    </w:p>
    <w:p w14:paraId="4D581742">
      <w:pPr>
        <w:pStyle w:val="9"/>
        <w:keepNext w:val="0"/>
        <w:keepLines w:val="0"/>
        <w:pageBreakBefore w:val="0"/>
        <w:widowControl/>
        <w:numPr>
          <w:ilvl w:val="0"/>
          <w:numId w:val="3"/>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1"/>
        <w:rPr>
          <w:rFonts w:hint="eastAsia" w:ascii="仿宋" w:hAnsi="仿宋" w:eastAsia="仿宋" w:cs="仿宋"/>
          <w:sz w:val="32"/>
          <w:szCs w:val="32"/>
          <w:highlight w:val="none"/>
          <w:lang w:val="en-US" w:eastAsia="zh-CN" w:bidi="ar"/>
        </w:rPr>
      </w:pPr>
      <w:bookmarkStart w:id="30" w:name="_Toc20589"/>
      <w:r>
        <w:rPr>
          <w:rFonts w:hint="eastAsia" w:ascii="仿宋" w:hAnsi="仿宋" w:eastAsia="仿宋" w:cs="仿宋"/>
          <w:sz w:val="32"/>
          <w:szCs w:val="32"/>
          <w:highlight w:val="none"/>
          <w:lang w:val="en-US" w:eastAsia="zh-CN" w:bidi="ar"/>
        </w:rPr>
        <w:t>人员编制方面</w:t>
      </w:r>
      <w:bookmarkEnd w:id="30"/>
    </w:p>
    <w:p w14:paraId="07DF97F2">
      <w:pPr>
        <w:widowControl/>
        <w:numPr>
          <w:ilvl w:val="0"/>
          <w:numId w:val="0"/>
        </w:numPr>
        <w:spacing w:line="360" w:lineRule="auto"/>
        <w:ind w:firstLine="640" w:firstLineChars="200"/>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严格实行编内进人。机关事业单位补充人员必须在编制限额内申报用人计划，严格控制超编进人，实行编制动态调整机制。</w:t>
      </w:r>
    </w:p>
    <w:p w14:paraId="6D22EC41">
      <w:pPr>
        <w:pStyle w:val="9"/>
        <w:keepNext w:val="0"/>
        <w:keepLines w:val="0"/>
        <w:pageBreakBefore w:val="0"/>
        <w:widowControl/>
        <w:numPr>
          <w:ilvl w:val="0"/>
          <w:numId w:val="3"/>
        </w:numPr>
        <w:kinsoku/>
        <w:wordWrap/>
        <w:overflowPunct/>
        <w:topLinePunct w:val="0"/>
        <w:autoSpaceDE/>
        <w:autoSpaceDN/>
        <w:bidi w:val="0"/>
        <w:adjustRightInd/>
        <w:snapToGrid/>
        <w:spacing w:before="165" w:beforeLines="50" w:beforeAutospacing="0" w:after="165" w:afterLines="50" w:afterAutospacing="0" w:line="360" w:lineRule="auto"/>
        <w:ind w:firstLine="640" w:firstLineChars="200"/>
        <w:textAlignment w:val="auto"/>
        <w:outlineLvl w:val="1"/>
        <w:rPr>
          <w:rFonts w:hint="eastAsia" w:ascii="仿宋" w:hAnsi="仿宋" w:eastAsia="仿宋" w:cs="仿宋"/>
          <w:sz w:val="32"/>
          <w:szCs w:val="32"/>
          <w:highlight w:val="none"/>
          <w:lang w:val="en-US" w:eastAsia="zh-CN" w:bidi="ar"/>
        </w:rPr>
      </w:pPr>
      <w:bookmarkStart w:id="31" w:name="_Toc856"/>
      <w:r>
        <w:rPr>
          <w:rFonts w:hint="eastAsia" w:ascii="仿宋" w:hAnsi="仿宋" w:eastAsia="仿宋" w:cs="仿宋"/>
          <w:sz w:val="32"/>
          <w:szCs w:val="32"/>
          <w:highlight w:val="none"/>
          <w:lang w:val="en-US" w:eastAsia="zh-CN" w:bidi="ar"/>
        </w:rPr>
        <w:t>预算管理方面</w:t>
      </w:r>
      <w:bookmarkEnd w:id="31"/>
    </w:p>
    <w:p w14:paraId="335C7C15">
      <w:pPr>
        <w:pStyle w:val="9"/>
        <w:keepNext w:val="0"/>
        <w:keepLines w:val="0"/>
        <w:pageBreakBefore w:val="0"/>
        <w:numPr>
          <w:ilvl w:val="0"/>
          <w:numId w:val="0"/>
        </w:numPr>
        <w:kinsoku/>
        <w:wordWrap/>
        <w:overflowPunct/>
        <w:topLinePunct w:val="0"/>
        <w:autoSpaceDN/>
        <w:bidi w:val="0"/>
        <w:adjustRightInd/>
        <w:snapToGrid/>
        <w:spacing w:before="165" w:beforeLines="50" w:beforeAutospacing="0" w:after="165" w:afterLines="50" w:afterAutospacing="0"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en-US" w:eastAsia="zh-CN" w:bidi="ar"/>
        </w:rPr>
        <w:t>落实节约措施，加强“三公”经费支出管理，遵循经费预算从紧、学习考察从实、公务接待从俭、公车管理从严原则，确保三公经费科学配置、合理开支。定期分析汇总预算执行情况，及时发现预算执行中的问题，并采取措施加以解决。加强单位财务内控管理，对执行不规范等问题及时采取整改措施，提高预算执行的合规性。单位应依据职能、年度工作计划，结合上年度决算情况，科学、合理地编制本年度预算。准确测算项目预算情况，减少预算调整事项的发生。单位领导及预算编制人员应严肃对待预算工作，充分认识到预算编制的重要性，避免随意性和主观性。认真执行预算法等法律法规，严格按照预算编制程序进行，细化预算收支项目，提高预算编制的完整性、科学性和规范性。</w:t>
      </w:r>
    </w:p>
    <w:p w14:paraId="2AC1EDF0">
      <w:pPr>
        <w:pStyle w:val="2"/>
        <w:keepNext w:val="0"/>
        <w:keepLines w:val="0"/>
        <w:pageBreakBefore w:val="0"/>
        <w:numPr>
          <w:ilvl w:val="0"/>
          <w:numId w:val="2"/>
        </w:numPr>
        <w:kinsoku/>
        <w:wordWrap/>
        <w:overflowPunct/>
        <w:topLinePunct w:val="0"/>
        <w:autoSpaceDE w:val="0"/>
        <w:autoSpaceDN/>
        <w:bidi w:val="0"/>
        <w:adjustRightInd/>
        <w:snapToGrid/>
        <w:spacing w:before="165" w:beforeLines="50" w:beforeAutospacing="0" w:after="165" w:afterLines="50" w:afterAutospacing="0" w:line="360" w:lineRule="auto"/>
        <w:ind w:firstLine="643" w:firstLineChars="200"/>
        <w:jc w:val="left"/>
        <w:textAlignment w:val="auto"/>
        <w:rPr>
          <w:rFonts w:hint="eastAsia" w:ascii="仿宋" w:hAnsi="仿宋" w:eastAsia="仿宋" w:cs="仿宋"/>
          <w:b/>
          <w:bCs/>
          <w:sz w:val="32"/>
          <w:szCs w:val="32"/>
          <w:highlight w:val="none"/>
        </w:rPr>
      </w:pPr>
      <w:bookmarkStart w:id="32" w:name="_Toc27365"/>
      <w:r>
        <w:rPr>
          <w:rFonts w:hint="eastAsia" w:ascii="仿宋" w:hAnsi="仿宋" w:eastAsia="仿宋" w:cs="仿宋"/>
          <w:b/>
          <w:bCs/>
          <w:sz w:val="32"/>
          <w:szCs w:val="32"/>
          <w:highlight w:val="none"/>
          <w:lang w:val="en-US" w:eastAsia="zh-CN"/>
        </w:rPr>
        <w:t>其他需要说明的问题</w:t>
      </w:r>
      <w:bookmarkEnd w:id="32"/>
    </w:p>
    <w:p w14:paraId="6FB6D237">
      <w:pPr>
        <w:pStyle w:val="9"/>
        <w:numPr>
          <w:ilvl w:val="0"/>
          <w:numId w:val="4"/>
        </w:numPr>
        <w:autoSpaceDE w:val="0"/>
        <w:spacing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关于评价结果的说明</w:t>
      </w:r>
    </w:p>
    <w:p w14:paraId="08453EF4">
      <w:pPr>
        <w:pStyle w:val="9"/>
        <w:autoSpaceDE/>
        <w:spacing w:before="165" w:beforeLines="50" w:beforeAutospacing="0" w:after="165" w:afterLines="50" w:afterAutospacing="0"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部门评价的结果受限于提供资料的全面性和准确性，评价小组仅能依据提供的现有的资料，结合职业判断给出评价的结果。绩效评价指标体系中部分指标评价采用抽样核查的结果，评价结果与实际可能存在偏差。</w:t>
      </w:r>
    </w:p>
    <w:p w14:paraId="2643C630">
      <w:pPr>
        <w:pStyle w:val="9"/>
        <w:numPr>
          <w:ilvl w:val="0"/>
          <w:numId w:val="4"/>
        </w:numPr>
        <w:autoSpaceDE/>
        <w:spacing w:before="165" w:beforeLines="50" w:beforeAutospacing="0" w:after="165" w:afterLines="50" w:afterAutospacing="0" w:line="360" w:lineRule="auto"/>
        <w:ind w:firstLine="640" w:firstLineChars="200"/>
        <w:rPr>
          <w:rFonts w:hint="eastAsia" w:ascii="仿宋" w:hAnsi="仿宋" w:eastAsia="仿宋" w:cs="仿宋"/>
          <w:b w:val="0"/>
          <w:bCs w:val="0"/>
          <w:sz w:val="32"/>
          <w:szCs w:val="32"/>
          <w:highlight w:val="none"/>
          <w:lang w:val="en-US" w:eastAsia="zh-CN" w:bidi="ar"/>
        </w:rPr>
      </w:pPr>
      <w:r>
        <w:rPr>
          <w:rFonts w:hint="eastAsia" w:ascii="仿宋" w:hAnsi="仿宋" w:eastAsia="仿宋" w:cs="仿宋"/>
          <w:b w:val="0"/>
          <w:bCs w:val="0"/>
          <w:sz w:val="32"/>
          <w:szCs w:val="32"/>
          <w:highlight w:val="none"/>
          <w:lang w:val="en-US" w:eastAsia="zh-CN" w:bidi="ar"/>
        </w:rPr>
        <w:t>关于报告使用的说明</w:t>
      </w:r>
    </w:p>
    <w:p w14:paraId="79F8AFEB">
      <w:pPr>
        <w:pStyle w:val="9"/>
        <w:autoSpaceDE/>
        <w:spacing w:before="165" w:beforeLines="50" w:beforeAutospacing="0" w:after="165" w:afterLines="50" w:afterAutospacing="0" w:line="360" w:lineRule="auto"/>
        <w:ind w:firstLine="640" w:firstLineChars="200"/>
        <w:rPr>
          <w:rFonts w:hint="eastAsia" w:ascii="仿宋" w:hAnsi="仿宋" w:eastAsia="仿宋" w:cs="仿宋"/>
          <w:b/>
          <w:bCs/>
          <w:sz w:val="32"/>
          <w:szCs w:val="32"/>
          <w:highlight w:val="none"/>
          <w:lang w:bidi="ar"/>
        </w:rPr>
      </w:pPr>
      <w:r>
        <w:rPr>
          <w:rFonts w:hint="eastAsia" w:ascii="仿宋" w:hAnsi="仿宋" w:eastAsia="仿宋" w:cs="仿宋"/>
          <w:b w:val="0"/>
          <w:bCs w:val="0"/>
          <w:sz w:val="32"/>
          <w:szCs w:val="32"/>
          <w:highlight w:val="none"/>
          <w:lang w:val="en-US" w:eastAsia="zh-CN" w:bidi="ar"/>
        </w:rPr>
        <w:t>本报告仅供林芝市财政局了解林芝</w:t>
      </w:r>
      <w:r>
        <w:rPr>
          <w:rFonts w:hint="eastAsia" w:ascii="仿宋" w:hAnsi="仿宋" w:eastAsia="仿宋" w:cs="仿宋"/>
          <w:kern w:val="2"/>
          <w:sz w:val="32"/>
          <w:szCs w:val="32"/>
          <w:lang w:val="en-US" w:eastAsia="zh-CN" w:bidi="ar"/>
        </w:rPr>
        <w:t>市应急管理局</w:t>
      </w:r>
      <w:r>
        <w:rPr>
          <w:rFonts w:hint="eastAsia" w:ascii="仿宋" w:hAnsi="仿宋" w:eastAsia="仿宋" w:cs="仿宋"/>
          <w:b w:val="0"/>
          <w:bCs w:val="0"/>
          <w:sz w:val="32"/>
          <w:szCs w:val="32"/>
          <w:highlight w:val="none"/>
          <w:lang w:val="en-US" w:eastAsia="zh-CN" w:bidi="ar"/>
        </w:rPr>
        <w:t>2023年度部门整体支出的绩效情况，不作其它用途。由于使用不当而造成的后果于本会计师事务所无关。</w:t>
      </w:r>
    </w:p>
    <w:p w14:paraId="2E849765">
      <w:pPr>
        <w:pStyle w:val="9"/>
        <w:autoSpaceDE w:val="0"/>
        <w:spacing w:line="360" w:lineRule="auto"/>
        <w:ind w:firstLine="643" w:firstLineChars="200"/>
        <w:outlineLvl w:val="0"/>
        <w:rPr>
          <w:rFonts w:hint="eastAsia" w:ascii="仿宋" w:hAnsi="仿宋" w:eastAsia="仿宋" w:cs="仿宋"/>
          <w:color w:val="000000"/>
          <w:sz w:val="32"/>
          <w:szCs w:val="32"/>
          <w:highlight w:val="none"/>
        </w:rPr>
      </w:pPr>
      <w:bookmarkStart w:id="33" w:name="_Toc20103"/>
      <w:r>
        <w:rPr>
          <w:rFonts w:hint="eastAsia" w:ascii="仿宋" w:hAnsi="仿宋" w:eastAsia="仿宋" w:cs="仿宋"/>
          <w:b/>
          <w:bCs/>
          <w:sz w:val="32"/>
          <w:szCs w:val="32"/>
          <w:highlight w:val="none"/>
          <w:lang w:bidi="ar"/>
        </w:rPr>
        <w:t>附件：</w:t>
      </w:r>
      <w:r>
        <w:rPr>
          <w:rFonts w:hint="eastAsia" w:ascii="仿宋" w:hAnsi="仿宋" w:eastAsia="仿宋" w:cs="仿宋"/>
          <w:b/>
          <w:bCs/>
          <w:kern w:val="2"/>
          <w:sz w:val="32"/>
          <w:szCs w:val="32"/>
          <w:highlight w:val="none"/>
          <w:lang w:bidi="ar"/>
        </w:rPr>
        <w:t>绩效评价指标体系框架打分表</w:t>
      </w:r>
      <w:bookmarkEnd w:id="33"/>
    </w:p>
    <w:p w14:paraId="458804FE">
      <w:pPr>
        <w:tabs>
          <w:tab w:val="left" w:pos="5580"/>
          <w:tab w:val="left" w:pos="5760"/>
          <w:tab w:val="left" w:pos="5940"/>
        </w:tabs>
        <w:spacing w:line="360" w:lineRule="auto"/>
        <w:ind w:firstLine="800" w:firstLineChars="250"/>
        <w:rPr>
          <w:rFonts w:hint="eastAsia" w:ascii="仿宋" w:hAnsi="仿宋" w:eastAsia="仿宋" w:cs="仿宋"/>
          <w:color w:val="000000"/>
          <w:sz w:val="32"/>
          <w:szCs w:val="32"/>
          <w:highlight w:val="none"/>
        </w:rPr>
      </w:pPr>
    </w:p>
    <w:p w14:paraId="7BA697AE">
      <w:pPr>
        <w:tabs>
          <w:tab w:val="left" w:pos="5580"/>
          <w:tab w:val="left" w:pos="5760"/>
          <w:tab w:val="left" w:pos="5940"/>
        </w:tabs>
        <w:spacing w:line="360" w:lineRule="auto"/>
        <w:ind w:firstLine="2240" w:firstLineChars="7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陕西丰汇韵嘉会计师事务所合伙企业（普通合伙）                           </w:t>
      </w:r>
    </w:p>
    <w:p w14:paraId="1142A3AD">
      <w:pPr>
        <w:tabs>
          <w:tab w:val="left" w:pos="5580"/>
          <w:tab w:val="left" w:pos="5760"/>
          <w:tab w:val="left" w:pos="5940"/>
        </w:tabs>
        <w:spacing w:line="360" w:lineRule="auto"/>
        <w:rPr>
          <w:rFonts w:hint="eastAsia" w:ascii="仿宋" w:hAnsi="仿宋" w:eastAsia="仿宋" w:cs="仿宋"/>
          <w:color w:val="000000"/>
          <w:sz w:val="32"/>
          <w:szCs w:val="32"/>
          <w:highlight w:val="none"/>
        </w:rPr>
      </w:pPr>
    </w:p>
    <w:p w14:paraId="60370C68">
      <w:pPr>
        <w:tabs>
          <w:tab w:val="left" w:pos="5580"/>
          <w:tab w:val="left" w:pos="5760"/>
          <w:tab w:val="left" w:pos="5940"/>
        </w:tabs>
        <w:spacing w:line="360" w:lineRule="auto"/>
        <w:ind w:firstLine="7360" w:firstLineChars="2300"/>
        <w:rPr>
          <w:rFonts w:hint="eastAsia" w:ascii="仿宋" w:hAnsi="仿宋" w:eastAsia="仿宋" w:cs="仿宋"/>
          <w:color w:val="000000"/>
          <w:sz w:val="32"/>
          <w:szCs w:val="32"/>
          <w:highlight w:val="none"/>
        </w:rPr>
      </w:pPr>
    </w:p>
    <w:p w14:paraId="1D9E2E4F">
      <w:pPr>
        <w:pStyle w:val="5"/>
        <w:tabs>
          <w:tab w:val="left" w:pos="3460"/>
          <w:tab w:val="center" w:pos="4590"/>
        </w:tabs>
        <w:spacing w:line="360" w:lineRule="auto"/>
        <w:rPr>
          <w:rFonts w:hint="eastAsia" w:ascii="仿宋" w:hAnsi="仿宋" w:eastAsia="仿宋" w:cs="仿宋"/>
          <w:color w:val="000000"/>
          <w:sz w:val="32"/>
          <w:szCs w:val="32"/>
          <w:highlight w:val="none"/>
        </w:rPr>
      </w:pPr>
    </w:p>
    <w:p w14:paraId="531126EB">
      <w:pPr>
        <w:spacing w:line="360" w:lineRule="auto"/>
        <w:ind w:right="480" w:firstLine="800" w:firstLineChars="25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二○二四年</w:t>
      </w:r>
      <w:r>
        <w:rPr>
          <w:rFonts w:hint="eastAsia" w:ascii="仿宋" w:hAnsi="仿宋" w:eastAsia="仿宋" w:cs="仿宋"/>
          <w:color w:val="000000"/>
          <w:sz w:val="32"/>
          <w:szCs w:val="32"/>
          <w:highlight w:val="none"/>
          <w:lang w:val="en-US" w:eastAsia="zh-CN"/>
        </w:rPr>
        <w:t>七</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二十六</w:t>
      </w:r>
      <w:r>
        <w:rPr>
          <w:rFonts w:hint="eastAsia" w:ascii="仿宋" w:hAnsi="仿宋" w:eastAsia="仿宋" w:cs="仿宋"/>
          <w:color w:val="000000"/>
          <w:sz w:val="32"/>
          <w:szCs w:val="32"/>
          <w:highlight w:val="none"/>
        </w:rPr>
        <w:t>日</w:t>
      </w:r>
    </w:p>
    <w:p w14:paraId="046900E9"/>
    <w:sectPr>
      <w:footerReference r:id="rId5" w:type="default"/>
      <w:pgSz w:w="11906" w:h="16838"/>
      <w:pgMar w:top="1496" w:right="1416" w:bottom="1105" w:left="1638" w:header="170" w:footer="454" w:gutter="0"/>
      <w:pgBorders>
        <w:top w:val="none" w:sz="0" w:space="0"/>
        <w:left w:val="none" w:sz="0" w:space="0"/>
        <w:bottom w:val="none" w:sz="0" w:space="0"/>
        <w:right w:val="none" w:sz="0" w:space="0"/>
      </w:pgBorders>
      <w:pgNumType w:fmt="decimal" w:start="1"/>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55A5">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A8B6F">
    <w:pPr>
      <w:pStyle w:val="5"/>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-238760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DABEA">
                          <w:pPr>
                            <w:jc w:val="left"/>
                            <w:rPr>
                              <w:rFonts w:hint="eastAsia" w:ascii="等线" w:hAnsi="等线" w:eastAsia="等线"/>
                              <w:b/>
                              <w:sz w:val="24"/>
                            </w:rPr>
                          </w:pPr>
                        </w:p>
                        <w:p w14:paraId="1461EE2B">
                          <w:pPr>
                            <w:jc w:val="left"/>
                            <w:rPr>
                              <w:rFonts w:ascii="等线" w:hAnsi="等线" w:eastAsia="等线"/>
                              <w:sz w:val="24"/>
                            </w:rPr>
                          </w:pPr>
                          <w:r>
                            <w:rPr>
                              <w:rFonts w:hint="eastAsia" w:ascii="等线" w:hAnsi="等线" w:eastAsia="等线"/>
                              <w:sz w:val="24"/>
                            </w:rPr>
                            <w:t xml:space="preserve">地址：陕西省西安市碑林区长安北路永宁国际13楼1308室      </w:t>
                          </w:r>
                          <w:r>
                            <w:rPr>
                              <w:rFonts w:ascii="等线" w:hAnsi="等线" w:eastAsia="等线"/>
                              <w:sz w:val="24"/>
                            </w:rPr>
                            <w:t>电话029-68976696</w:t>
                          </w:r>
                        </w:p>
                        <w:p w14:paraId="00E9FAEE">
                          <w:pPr>
                            <w:pStyle w:val="5"/>
                            <w:jc w:val="center"/>
                            <w:rPr>
                              <w:rFonts w:hint="eastAsia"/>
                            </w:rPr>
                          </w:pPr>
                          <w:r>
                            <w:rPr>
                              <w:rFonts w:hint="eastAsia"/>
                            </w:rPr>
                            <w:t xml:space="preserve">    </w:t>
                          </w:r>
                        </w:p>
                        <w:p w14:paraId="7EDDD7E9">
                          <w:pPr>
                            <w:pStyle w:val="5"/>
                            <w:jc w:val="center"/>
                            <w:rPr>
                              <w:rFonts w:hint="eastAsia"/>
                            </w:rPr>
                          </w:pPr>
                          <w:r>
                            <w:rPr>
                              <w:rFonts w:hint="eastAsia"/>
                            </w:rPr>
                            <w:t xml:space="preserve">   </w:t>
                          </w:r>
                          <w:r>
                            <w:fldChar w:fldCharType="begin"/>
                          </w:r>
                          <w:r>
                            <w:instrText xml:space="preserve">PAGE   \* MERGEFORMAT</w:instrText>
                          </w:r>
                          <w:r>
                            <w:fldChar w:fldCharType="separate"/>
                          </w:r>
                          <w:r>
                            <w:rPr>
                              <w:lang w:val="zh-CN"/>
                            </w:rPr>
                            <w:t>4</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8pt;height:144pt;width:144pt;mso-position-horizontal:center;mso-position-horizontal-relative:margin;mso-wrap-style:none;z-index:251661312;mso-width-relative:page;mso-height-relative:page;" filled="f" stroked="f" coordsize="21600,21600" o:gfxdata="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rAOmLWAAAACA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14:paraId="660DABEA">
                    <w:pPr>
                      <w:jc w:val="left"/>
                      <w:rPr>
                        <w:rFonts w:hint="eastAsia" w:ascii="等线" w:hAnsi="等线" w:eastAsia="等线"/>
                        <w:b/>
                        <w:sz w:val="24"/>
                      </w:rPr>
                    </w:pPr>
                  </w:p>
                  <w:p w14:paraId="1461EE2B">
                    <w:pPr>
                      <w:jc w:val="left"/>
                      <w:rPr>
                        <w:rFonts w:ascii="等线" w:hAnsi="等线" w:eastAsia="等线"/>
                        <w:sz w:val="24"/>
                      </w:rPr>
                    </w:pPr>
                    <w:r>
                      <w:rPr>
                        <w:rFonts w:hint="eastAsia" w:ascii="等线" w:hAnsi="等线" w:eastAsia="等线"/>
                        <w:sz w:val="24"/>
                      </w:rPr>
                      <w:t xml:space="preserve">地址：陕西省西安市碑林区长安北路永宁国际13楼1308室      </w:t>
                    </w:r>
                    <w:r>
                      <w:rPr>
                        <w:rFonts w:ascii="等线" w:hAnsi="等线" w:eastAsia="等线"/>
                        <w:sz w:val="24"/>
                      </w:rPr>
                      <w:t>电话029-68976696</w:t>
                    </w:r>
                  </w:p>
                  <w:p w14:paraId="00E9FAEE">
                    <w:pPr>
                      <w:pStyle w:val="5"/>
                      <w:jc w:val="center"/>
                      <w:rPr>
                        <w:rFonts w:hint="eastAsia"/>
                      </w:rPr>
                    </w:pPr>
                    <w:r>
                      <w:rPr>
                        <w:rFonts w:hint="eastAsia"/>
                      </w:rPr>
                      <w:t xml:space="preserve">    </w:t>
                    </w:r>
                  </w:p>
                  <w:p w14:paraId="7EDDD7E9">
                    <w:pPr>
                      <w:pStyle w:val="5"/>
                      <w:jc w:val="center"/>
                      <w:rPr>
                        <w:rFonts w:hint="eastAsia"/>
                      </w:rPr>
                    </w:pPr>
                    <w:r>
                      <w:rPr>
                        <w:rFonts w:hint="eastAsia"/>
                      </w:rPr>
                      <w:t xml:space="preserve">   </w:t>
                    </w:r>
                    <w:r>
                      <w:fldChar w:fldCharType="begin"/>
                    </w:r>
                    <w:r>
                      <w:instrText xml:space="preserve">PAGE   \* MERGEFORMAT</w:instrText>
                    </w:r>
                    <w:r>
                      <w:fldChar w:fldCharType="separate"/>
                    </w:r>
                    <w:r>
                      <w:rPr>
                        <w:lang w:val="zh-CN"/>
                      </w:rPr>
                      <w:t>4</w:t>
                    </w:r>
                    <w: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9FA58">
    <w:pPr>
      <w:spacing w:line="240" w:lineRule="atLeast"/>
      <w:ind w:right="210"/>
      <w:jc w:val="right"/>
      <w:rPr>
        <w:rFonts w:hint="eastAsia" w:ascii="微软雅黑" w:hAnsi="微软雅黑" w:eastAsia="微软雅黑"/>
        <w:i/>
        <w:szCs w:val="21"/>
      </w:rPr>
    </w:pPr>
  </w:p>
  <w:p w14:paraId="042BC639">
    <w:pPr>
      <w:spacing w:line="240" w:lineRule="atLeast"/>
      <w:ind w:right="210"/>
      <w:jc w:val="right"/>
      <w:rPr>
        <w:rFonts w:hint="eastAsia" w:ascii="微软雅黑" w:hAnsi="微软雅黑" w:eastAsia="微软雅黑"/>
        <w:i/>
        <w:szCs w:val="21"/>
      </w:rPr>
    </w:pPr>
    <w:r>
      <w:rPr>
        <w:rFonts w:hint="eastAsia" w:ascii="微软雅黑" w:hAnsi="微软雅黑" w:eastAsia="微软雅黑"/>
        <w:i/>
        <w:szCs w:val="21"/>
      </w:rPr>
      <w:t xml:space="preserve">                                 </w:t>
    </w:r>
    <w:r>
      <w:rPr>
        <w:rFonts w:ascii="微软雅黑" w:hAnsi="微软雅黑" w:eastAsia="微软雅黑"/>
        <w:i/>
        <w:szCs w:val="21"/>
      </w:rPr>
      <w:t>陕西丰汇韵嘉会计师事务所合伙企业（普通合伙）</w:t>
    </w:r>
  </w:p>
  <w:p w14:paraId="3C5F557F">
    <w:pPr>
      <w:spacing w:line="240" w:lineRule="atLeast"/>
      <w:ind w:right="210"/>
      <w:jc w:val="right"/>
    </w:pPr>
    <w:r>
      <w:drawing>
        <wp:anchor distT="0" distB="0" distL="114300" distR="114300" simplePos="0" relativeHeight="251659264" behindDoc="1" locked="0" layoutInCell="1" allowOverlap="1">
          <wp:simplePos x="0" y="0"/>
          <wp:positionH relativeFrom="column">
            <wp:posOffset>228600</wp:posOffset>
          </wp:positionH>
          <wp:positionV relativeFrom="paragraph">
            <wp:posOffset>-429260</wp:posOffset>
          </wp:positionV>
          <wp:extent cx="575945" cy="575945"/>
          <wp:effectExtent l="0" t="0" r="14605" b="146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75945" cy="575945"/>
                  </a:xfrm>
                  <a:prstGeom prst="rect">
                    <a:avLst/>
                  </a:prstGeom>
                  <a:noFill/>
                  <a:ln>
                    <a:noFill/>
                  </a:ln>
                </pic:spPr>
              </pic:pic>
            </a:graphicData>
          </a:graphic>
        </wp:anchor>
      </w:drawing>
    </w:r>
    <w:r>
      <w:rPr>
        <w:rFonts w:ascii="微软雅黑" w:hAnsi="微软雅黑" w:eastAsia="微软雅黑"/>
        <w:i/>
        <w:szCs w:val="21"/>
      </w:rPr>
      <w:t>S</w:t>
    </w:r>
    <w:r>
      <w:rPr>
        <w:rFonts w:hint="eastAsia" w:ascii="微软雅黑" w:hAnsi="微软雅黑" w:eastAsia="微软雅黑"/>
        <w:i/>
        <w:szCs w:val="21"/>
      </w:rPr>
      <w:t>HAANXI</w:t>
    </w:r>
    <w:r>
      <w:rPr>
        <w:rFonts w:ascii="微软雅黑" w:hAnsi="微软雅黑" w:eastAsia="微软雅黑"/>
        <w:i/>
        <w:szCs w:val="21"/>
      </w:rPr>
      <w:t xml:space="preserve"> F</w:t>
    </w:r>
    <w:r>
      <w:rPr>
        <w:rFonts w:hint="eastAsia" w:ascii="微软雅黑" w:hAnsi="微软雅黑" w:eastAsia="微软雅黑"/>
        <w:i/>
        <w:szCs w:val="21"/>
      </w:rPr>
      <w:t>ENG HUI</w:t>
    </w:r>
    <w:r>
      <w:rPr>
        <w:rFonts w:ascii="微软雅黑" w:hAnsi="微软雅黑" w:eastAsia="微软雅黑"/>
        <w:i/>
        <w:szCs w:val="21"/>
      </w:rPr>
      <w:t xml:space="preserve"> </w:t>
    </w:r>
    <w:r>
      <w:rPr>
        <w:rFonts w:hint="eastAsia" w:ascii="微软雅黑" w:hAnsi="微软雅黑" w:eastAsia="微软雅黑"/>
        <w:i/>
        <w:szCs w:val="21"/>
      </w:rPr>
      <w:t>YUNJIA</w:t>
    </w:r>
    <w:r>
      <w:rPr>
        <w:rFonts w:ascii="微软雅黑" w:hAnsi="微软雅黑" w:eastAsia="微软雅黑"/>
        <w:i/>
        <w:szCs w:val="21"/>
      </w:rPr>
      <w:t xml:space="preserve"> </w:t>
    </w:r>
    <w:r>
      <w:rPr>
        <w:rFonts w:hint="eastAsia" w:ascii="微软雅黑" w:hAnsi="微软雅黑" w:eastAsia="微软雅黑"/>
        <w:i/>
        <w:szCs w:val="21"/>
      </w:rPr>
      <w:t>C.P.A</w:t>
    </w:r>
    <w:r>
      <w:rPr>
        <w:rFonts w:ascii="微软雅黑" w:hAnsi="微软雅黑" w:eastAsia="微软雅黑"/>
        <w:i/>
        <w:szCs w:val="21"/>
      </w:rPr>
      <w:t xml:space="preserve"> P</w:t>
    </w:r>
    <w:r>
      <w:rPr>
        <w:rFonts w:hint="eastAsia" w:ascii="微软雅黑" w:hAnsi="微软雅黑" w:eastAsia="微软雅黑"/>
        <w:i/>
        <w:szCs w:val="21"/>
      </w:rPr>
      <w:t>ARTNERSHIP</w:t>
    </w:r>
  </w:p>
  <w:p w14:paraId="584E146D">
    <w:pPr>
      <w:pStyle w:val="6"/>
      <w:pBdr>
        <w:bottom w:val="none" w:color="auto" w:sz="0" w:space="0"/>
      </w:pBdr>
    </w:pPr>
    <w: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24765</wp:posOffset>
              </wp:positionV>
              <wp:extent cx="5931535"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59315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5pt;margin-top:1.95pt;height:0pt;width:467.05pt;z-index:251660288;mso-width-relative:page;mso-height-relative:page;" filled="f" stroked="t" coordsize="21600,21600" o:gfxdata="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9hSIjVAAAABgEAAA8AAAAAAAAAAQAgAAAAIgAAAGRycy9kb3ducmV2Lnht&#10;bFBLAQIUABQAAAAIAIdO4kD3v1ew/AEAAOwDAAAOAAAAAAAAAAEAIAAAACQBAABkcnMvZTJvRG9j&#10;LnhtbFBLBQYAAAAABgAGAFkBAACSBQ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56F74"/>
    <w:multiLevelType w:val="singleLevel"/>
    <w:tmpl w:val="97A56F74"/>
    <w:lvl w:ilvl="0" w:tentative="0">
      <w:start w:val="1"/>
      <w:numFmt w:val="chineseCounting"/>
      <w:suff w:val="nothing"/>
      <w:lvlText w:val="（%1）"/>
      <w:lvlJc w:val="left"/>
      <w:rPr>
        <w:rFonts w:hint="eastAsia"/>
      </w:rPr>
    </w:lvl>
  </w:abstractNum>
  <w:abstractNum w:abstractNumId="1">
    <w:nsid w:val="D4BBF96E"/>
    <w:multiLevelType w:val="multilevel"/>
    <w:tmpl w:val="D4BBF96E"/>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ABAD4CB"/>
    <w:multiLevelType w:val="singleLevel"/>
    <w:tmpl w:val="2ABAD4CB"/>
    <w:lvl w:ilvl="0" w:tentative="0">
      <w:start w:val="1"/>
      <w:numFmt w:val="chineseCounting"/>
      <w:suff w:val="nothing"/>
      <w:lvlText w:val="（%1）"/>
      <w:lvlJc w:val="left"/>
      <w:rPr>
        <w:rFonts w:hint="eastAsia"/>
      </w:rPr>
    </w:lvl>
  </w:abstractNum>
  <w:abstractNum w:abstractNumId="3">
    <w:nsid w:val="60FDA3F8"/>
    <w:multiLevelType w:val="singleLevel"/>
    <w:tmpl w:val="60FDA3F8"/>
    <w:lvl w:ilvl="0" w:tentative="0">
      <w:start w:val="5"/>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DYxNzNhYjEwNmQ1OWRhYTJmNzRjZjJiMjA1YTQifQ=="/>
  </w:docVars>
  <w:rsids>
    <w:rsidRoot w:val="6A744225"/>
    <w:rsid w:val="04D119C2"/>
    <w:rsid w:val="0F5D3B7D"/>
    <w:rsid w:val="15766F09"/>
    <w:rsid w:val="1A0D715C"/>
    <w:rsid w:val="1F894DF3"/>
    <w:rsid w:val="230D2DB7"/>
    <w:rsid w:val="2386634A"/>
    <w:rsid w:val="266F6BFE"/>
    <w:rsid w:val="2829181B"/>
    <w:rsid w:val="28343954"/>
    <w:rsid w:val="315D2224"/>
    <w:rsid w:val="32101BD0"/>
    <w:rsid w:val="3DFA5869"/>
    <w:rsid w:val="407C2CB3"/>
    <w:rsid w:val="4115326E"/>
    <w:rsid w:val="438C4A2F"/>
    <w:rsid w:val="466A0A44"/>
    <w:rsid w:val="46AF1972"/>
    <w:rsid w:val="49D1756E"/>
    <w:rsid w:val="4D1D5DA7"/>
    <w:rsid w:val="4D32161E"/>
    <w:rsid w:val="4F145191"/>
    <w:rsid w:val="5012721B"/>
    <w:rsid w:val="51600EAB"/>
    <w:rsid w:val="5F3B6F60"/>
    <w:rsid w:val="665B64BB"/>
    <w:rsid w:val="67413AA2"/>
    <w:rsid w:val="684B7DC4"/>
    <w:rsid w:val="6A744225"/>
    <w:rsid w:val="6C943789"/>
    <w:rsid w:val="6DB87213"/>
    <w:rsid w:val="6EA05009"/>
    <w:rsid w:val="71185AFB"/>
    <w:rsid w:val="783F302F"/>
    <w:rsid w:val="79FF1A29"/>
    <w:rsid w:val="7B7E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360"/>
      </w:tabs>
      <w:spacing w:line="240" w:lineRule="atLeast"/>
      <w:ind w:firstLine="556"/>
      <w:outlineLvl w:val="0"/>
    </w:pPr>
    <w:rPr>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仿宋_GB2312" w:cs="Times New Roman"/>
      <w:color w:val="000000"/>
      <w:kern w:val="2"/>
      <w:sz w:val="24"/>
      <w:szCs w:val="24"/>
      <w:lang w:val="en-US" w:eastAsia="zh-CN" w:bidi="ar"/>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character" w:customStyle="1" w:styleId="14">
    <w:name w:val="15"/>
    <w:basedOn w:val="11"/>
    <w:qFormat/>
    <w:uiPriority w:val="0"/>
    <w:rPr>
      <w:rFonts w:hint="eastAsia" w:ascii="宋体" w:hAnsi="宋体" w:eastAsia="宋体" w:cs="宋体"/>
      <w:color w:val="000000"/>
      <w:sz w:val="20"/>
      <w:szCs w:val="20"/>
    </w:rPr>
  </w:style>
  <w:style w:type="character" w:customStyle="1" w:styleId="15">
    <w:name w:val="16"/>
    <w:basedOn w:val="11"/>
    <w:qFormat/>
    <w:uiPriority w:val="0"/>
    <w:rPr>
      <w:rFonts w:hint="eastAsia" w:ascii="宋体" w:hAnsi="宋体" w:eastAsia="宋体" w:cs="宋体"/>
      <w:color w:val="000000"/>
      <w:sz w:val="20"/>
      <w:szCs w:val="20"/>
    </w:rPr>
  </w:style>
  <w:style w:type="character" w:customStyle="1" w:styleId="16">
    <w:name w:val="font2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11863</Words>
  <Characters>12720</Characters>
  <Lines>0</Lines>
  <Paragraphs>0</Paragraphs>
  <TotalTime>4</TotalTime>
  <ScaleCrop>false</ScaleCrop>
  <LinksUpToDate>false</LinksUpToDate>
  <CharactersWithSpaces>12891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2024-06-26T03:54:00Z</dcterms:created>
  <dc:creator>niu</dc:creator>
  <cp:lastModifiedBy>牛乐</cp:lastModifiedBy>
  <dcterms:modified xsi:type="dcterms:W3CDTF">2024-09-09T11:21:56Z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CD1868D94ED549D9B3A4F34164C58CFD_11</vt:lpwstr>
  </property>
</Properties>
</file>