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000000"/>
          <w:sz w:val="24"/>
          <w:szCs w:val="24"/>
        </w:rPr>
        <w:t>202</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11月14日，林芝市应急管理局对</w:t>
      </w:r>
      <w:r>
        <w:rPr>
          <w:rFonts w:hint="eastAsia" w:ascii="仿宋_GB2312" w:hAnsi="仿宋" w:eastAsia="仿宋_GB2312" w:cs="仿宋"/>
          <w:color w:val="000000"/>
          <w:sz w:val="24"/>
          <w:szCs w:val="24"/>
          <w:u w:val="none"/>
          <w:lang w:eastAsia="zh-CN"/>
        </w:rPr>
        <w:t>林芝市巴宜区金牛石油销售有限公司</w:t>
      </w:r>
      <w:r>
        <w:rPr>
          <w:rFonts w:hint="eastAsia" w:ascii="仿宋_GB2312" w:hAnsi="仿宋_GB2312" w:eastAsia="仿宋_GB2312" w:cs="仿宋_GB2312"/>
          <w:color w:val="000000"/>
          <w:sz w:val="24"/>
          <w:szCs w:val="24"/>
          <w:lang w:val="en-US" w:eastAsia="zh-CN"/>
        </w:rPr>
        <w:t>进行执法检查中发现：该加油站未采取有效管控措施，及时消除事故隐患。例如：站房的一楼宿舍、二楼宿舍、二楼休息区、男卫生间、微型消防站旁、排水沟等多处位置存在烟头及吸烟痕迹。</w:t>
      </w:r>
      <w:r>
        <w:rPr>
          <w:rFonts w:hint="eastAsia" w:ascii="仿宋_GB2312" w:hAnsi="仿宋_GB2312" w:eastAsia="仿宋_GB2312" w:cs="仿宋_GB2312"/>
          <w:color w:val="000000"/>
          <w:sz w:val="24"/>
          <w:szCs w:val="24"/>
          <w:u w:val="none"/>
          <w:lang w:val="en-US" w:eastAsia="zh-CN"/>
        </w:rPr>
        <w:t>该公司</w:t>
      </w:r>
      <w:bookmarkStart w:id="0" w:name="_GoBack"/>
      <w:bookmarkEnd w:id="0"/>
      <w:r>
        <w:rPr>
          <w:rFonts w:hint="eastAsia" w:ascii="仿宋_GB2312" w:hAnsi="仿宋_GB2312" w:eastAsia="仿宋_GB2312" w:cs="仿宋_GB2312"/>
          <w:color w:val="000000"/>
          <w:sz w:val="24"/>
          <w:szCs w:val="24"/>
          <w:u w:val="none"/>
          <w:lang w:val="en-US" w:eastAsia="zh-CN"/>
        </w:rPr>
        <w:t xml:space="preserve">行为违反了《中华人民共和国安全生产法》第二章第四十一条第二款的规定，依据《中华人民共和国安全生产法》第六章第一百零二条的规定。决定对林芝市巴宜区金牛石油销售有限公司作出责令立即消除，处人民币11000元（壹万壹仟元整）罚款的行政处罚。 </w:t>
      </w:r>
      <w:r>
        <w:rPr>
          <w:rFonts w:hint="eastAsia"/>
          <w:color w:val="auto"/>
          <w:lang w:val="en-US" w:eastAsia="zh-CN"/>
        </w:rPr>
        <w:t xml:space="preserve">      </w:t>
      </w: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行政处罚公开信息表</w:t>
      </w:r>
    </w:p>
    <w:tbl>
      <w:tblPr>
        <w:tblStyle w:val="8"/>
        <w:tblW w:w="14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835"/>
        <w:gridCol w:w="2134"/>
        <w:gridCol w:w="1049"/>
        <w:gridCol w:w="1183"/>
        <w:gridCol w:w="2239"/>
        <w:gridCol w:w="1445"/>
        <w:gridCol w:w="1043"/>
        <w:gridCol w:w="165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1409" w:type="dxa"/>
          </w:tcPr>
          <w:p>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案件名称</w:t>
            </w:r>
          </w:p>
        </w:tc>
        <w:tc>
          <w:tcPr>
            <w:tcW w:w="835" w:type="dxa"/>
          </w:tcPr>
          <w:p>
            <w:pPr>
              <w:spacing w:line="36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1"/>
                <w:szCs w:val="21"/>
                <w:vertAlign w:val="baseline"/>
                <w:lang w:val="en-US" w:eastAsia="zh-CN"/>
              </w:rPr>
              <w:t>单位（个人）</w:t>
            </w:r>
          </w:p>
        </w:tc>
        <w:tc>
          <w:tcPr>
            <w:tcW w:w="2134" w:type="dxa"/>
          </w:tcPr>
          <w:p>
            <w:pPr>
              <w:spacing w:line="36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统一社会</w:t>
            </w:r>
          </w:p>
          <w:p>
            <w:pPr>
              <w:spacing w:line="36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信用代码</w:t>
            </w:r>
          </w:p>
        </w:tc>
        <w:tc>
          <w:tcPr>
            <w:tcW w:w="1049" w:type="dxa"/>
          </w:tcPr>
          <w:p>
            <w:pPr>
              <w:spacing w:line="36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法定代</w:t>
            </w:r>
          </w:p>
          <w:p>
            <w:pPr>
              <w:spacing w:line="36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表  人</w:t>
            </w:r>
          </w:p>
        </w:tc>
        <w:tc>
          <w:tcPr>
            <w:tcW w:w="1183" w:type="dxa"/>
          </w:tcPr>
          <w:p>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处罚决定书</w:t>
            </w:r>
          </w:p>
        </w:tc>
        <w:tc>
          <w:tcPr>
            <w:tcW w:w="2239" w:type="dxa"/>
          </w:tcPr>
          <w:p>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违法行为</w:t>
            </w:r>
          </w:p>
        </w:tc>
        <w:tc>
          <w:tcPr>
            <w:tcW w:w="1445" w:type="dxa"/>
          </w:tcPr>
          <w:p>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处罚依据</w:t>
            </w:r>
          </w:p>
        </w:tc>
        <w:tc>
          <w:tcPr>
            <w:tcW w:w="1043" w:type="dxa"/>
          </w:tcPr>
          <w:p>
            <w:pPr>
              <w:spacing w:line="36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行政处罚决定</w:t>
            </w:r>
          </w:p>
        </w:tc>
        <w:tc>
          <w:tcPr>
            <w:tcW w:w="1655" w:type="dxa"/>
          </w:tcPr>
          <w:p>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处罚时间</w:t>
            </w:r>
          </w:p>
        </w:tc>
        <w:tc>
          <w:tcPr>
            <w:tcW w:w="1316" w:type="dxa"/>
          </w:tcPr>
          <w:p>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tcPr>
          <w:p>
            <w:pPr>
              <w:spacing w:line="240" w:lineRule="auto"/>
              <w:jc w:val="both"/>
              <w:rPr>
                <w:rFonts w:hint="eastAsia" w:ascii="仿宋_GB2312" w:hAnsi="仿宋" w:eastAsia="仿宋_GB2312" w:cs="仿宋"/>
                <w:color w:val="000000"/>
                <w:sz w:val="18"/>
                <w:szCs w:val="18"/>
                <w:u w:val="none"/>
                <w:lang w:eastAsia="zh-CN"/>
              </w:rPr>
            </w:pPr>
            <w:r>
              <w:rPr>
                <w:rFonts w:hint="eastAsia" w:ascii="仿宋_GB2312" w:hAnsi="仿宋" w:eastAsia="仿宋_GB2312" w:cs="仿宋"/>
                <w:color w:val="000000"/>
                <w:sz w:val="18"/>
                <w:szCs w:val="18"/>
                <w:u w:val="none"/>
                <w:lang w:eastAsia="zh-CN"/>
              </w:rPr>
              <w:t xml:space="preserve"> 林芝市巴宜区金牛石油销售有限公司</w:t>
            </w:r>
            <w:r>
              <w:rPr>
                <w:rFonts w:hint="default" w:ascii="仿宋_GB2312" w:hAnsi="仿宋" w:eastAsia="仿宋_GB2312" w:cs="仿宋"/>
                <w:color w:val="000000"/>
                <w:sz w:val="18"/>
                <w:szCs w:val="18"/>
                <w:u w:val="none"/>
                <w:lang w:val="en" w:eastAsia="zh-CN"/>
              </w:rPr>
              <w:t>未采取措施消除</w:t>
            </w:r>
            <w:r>
              <w:rPr>
                <w:rFonts w:hint="eastAsia" w:ascii="仿宋_GB2312" w:hAnsi="仿宋" w:eastAsia="仿宋_GB2312" w:cs="仿宋"/>
                <w:color w:val="000000"/>
                <w:sz w:val="18"/>
                <w:szCs w:val="18"/>
                <w:u w:val="none"/>
                <w:lang w:val="en" w:eastAsia="zh-CN"/>
              </w:rPr>
              <w:t>事故</w:t>
            </w:r>
            <w:r>
              <w:rPr>
                <w:rFonts w:hint="default" w:ascii="仿宋_GB2312" w:hAnsi="仿宋" w:eastAsia="仿宋_GB2312" w:cs="仿宋"/>
                <w:color w:val="000000"/>
                <w:sz w:val="18"/>
                <w:szCs w:val="18"/>
                <w:u w:val="none"/>
                <w:lang w:val="en" w:eastAsia="zh-CN"/>
              </w:rPr>
              <w:t>隐患案</w:t>
            </w:r>
          </w:p>
        </w:tc>
        <w:tc>
          <w:tcPr>
            <w:tcW w:w="835" w:type="dxa"/>
          </w:tcPr>
          <w:p>
            <w:pPr>
              <w:spacing w:line="240" w:lineRule="auto"/>
              <w:jc w:val="both"/>
              <w:rPr>
                <w:rFonts w:hint="eastAsia" w:ascii="仿宋_GB2312" w:hAnsi="仿宋" w:eastAsia="仿宋_GB2312" w:cs="仿宋"/>
                <w:color w:val="000000"/>
                <w:sz w:val="18"/>
                <w:szCs w:val="18"/>
                <w:u w:val="none"/>
                <w:lang w:eastAsia="zh-CN"/>
              </w:rPr>
            </w:pPr>
            <w:r>
              <w:rPr>
                <w:rFonts w:hint="eastAsia" w:ascii="仿宋_GB2312" w:hAnsi="仿宋" w:eastAsia="仿宋_GB2312" w:cs="仿宋"/>
                <w:color w:val="000000"/>
                <w:sz w:val="18"/>
                <w:szCs w:val="18"/>
                <w:u w:val="none"/>
                <w:lang w:val="en-US" w:eastAsia="zh-CN"/>
              </w:rPr>
              <w:t xml:space="preserve">              </w:t>
            </w:r>
            <w:r>
              <w:rPr>
                <w:rFonts w:hint="eastAsia" w:ascii="仿宋_GB2312" w:hAnsi="仿宋" w:eastAsia="仿宋_GB2312" w:cs="仿宋"/>
                <w:color w:val="000000"/>
                <w:sz w:val="18"/>
                <w:szCs w:val="18"/>
                <w:u w:val="none"/>
                <w:lang w:eastAsia="zh-CN"/>
              </w:rPr>
              <w:t>林芝市巴宜区金牛石油销售有限公司</w:t>
            </w:r>
          </w:p>
        </w:tc>
        <w:tc>
          <w:tcPr>
            <w:tcW w:w="2134" w:type="dxa"/>
          </w:tcPr>
          <w:p>
            <w:pPr>
              <w:spacing w:line="240" w:lineRule="auto"/>
              <w:jc w:val="both"/>
              <w:rPr>
                <w:rFonts w:hint="eastAsia" w:ascii="仿宋_GB2312" w:hAnsi="仿宋" w:eastAsia="仿宋_GB2312" w:cs="仿宋"/>
                <w:color w:val="000000"/>
                <w:sz w:val="18"/>
                <w:szCs w:val="18"/>
                <w:u w:val="none"/>
                <w:lang w:val="en-US" w:eastAsia="zh-CN"/>
              </w:rPr>
            </w:pPr>
          </w:p>
          <w:p>
            <w:pPr>
              <w:spacing w:line="240" w:lineRule="auto"/>
              <w:jc w:val="both"/>
              <w:rPr>
                <w:rFonts w:hint="eastAsia" w:ascii="仿宋_GB2312" w:hAnsi="仿宋" w:eastAsia="仿宋_GB2312" w:cs="仿宋"/>
                <w:color w:val="000000"/>
                <w:sz w:val="18"/>
                <w:szCs w:val="18"/>
                <w:u w:val="none"/>
                <w:lang w:val="en-US" w:eastAsia="zh-CN"/>
              </w:rPr>
            </w:pPr>
          </w:p>
          <w:p>
            <w:pPr>
              <w:spacing w:line="240" w:lineRule="auto"/>
              <w:jc w:val="both"/>
              <w:rPr>
                <w:rFonts w:hint="default" w:ascii="仿宋_GB2312" w:hAnsi="仿宋" w:eastAsia="仿宋_GB2312" w:cs="仿宋"/>
                <w:color w:val="000000"/>
                <w:sz w:val="18"/>
                <w:szCs w:val="18"/>
                <w:u w:val="none"/>
                <w:lang w:val="en-US" w:eastAsia="zh-CN"/>
              </w:rPr>
            </w:pPr>
            <w:r>
              <w:rPr>
                <w:rFonts w:hint="eastAsia" w:ascii="仿宋_GB2312" w:hAnsi="仿宋" w:eastAsia="仿宋_GB2312" w:cs="仿宋"/>
                <w:color w:val="000000"/>
                <w:sz w:val="18"/>
                <w:szCs w:val="18"/>
                <w:u w:val="none"/>
                <w:lang w:val="en-US" w:eastAsia="zh-CN"/>
              </w:rPr>
              <w:t>91540402MA6T1KRQ96</w:t>
            </w:r>
          </w:p>
        </w:tc>
        <w:tc>
          <w:tcPr>
            <w:tcW w:w="1049" w:type="dxa"/>
          </w:tcPr>
          <w:p>
            <w:pPr>
              <w:spacing w:line="240" w:lineRule="auto"/>
              <w:jc w:val="both"/>
              <w:rPr>
                <w:rFonts w:hint="eastAsia" w:ascii="仿宋_GB2312" w:hAnsi="仿宋" w:eastAsia="仿宋_GB2312" w:cs="仿宋"/>
                <w:color w:val="000000"/>
                <w:sz w:val="18"/>
                <w:szCs w:val="18"/>
                <w:u w:val="none"/>
                <w:lang w:val="en-US" w:eastAsia="zh-CN"/>
              </w:rPr>
            </w:pPr>
          </w:p>
          <w:p>
            <w:pPr>
              <w:spacing w:line="240" w:lineRule="auto"/>
              <w:jc w:val="both"/>
              <w:rPr>
                <w:rFonts w:hint="eastAsia" w:ascii="仿宋_GB2312" w:hAnsi="仿宋" w:eastAsia="仿宋_GB2312" w:cs="仿宋"/>
                <w:color w:val="000000"/>
                <w:sz w:val="18"/>
                <w:szCs w:val="18"/>
                <w:u w:val="none"/>
                <w:lang w:val="en-US" w:eastAsia="zh-CN"/>
              </w:rPr>
            </w:pPr>
          </w:p>
          <w:p>
            <w:pPr>
              <w:spacing w:line="240" w:lineRule="auto"/>
              <w:jc w:val="both"/>
              <w:rPr>
                <w:rFonts w:hint="eastAsia" w:ascii="仿宋_GB2312" w:hAnsi="仿宋" w:eastAsia="仿宋_GB2312" w:cs="仿宋"/>
                <w:color w:val="000000"/>
                <w:sz w:val="18"/>
                <w:szCs w:val="18"/>
                <w:u w:val="none"/>
                <w:lang w:val="en-US" w:eastAsia="zh-CN"/>
              </w:rPr>
            </w:pPr>
          </w:p>
          <w:p>
            <w:pPr>
              <w:spacing w:line="240" w:lineRule="auto"/>
              <w:jc w:val="both"/>
              <w:rPr>
                <w:rFonts w:hint="default" w:ascii="仿宋_GB2312" w:hAnsi="仿宋" w:eastAsia="仿宋_GB2312" w:cs="仿宋"/>
                <w:color w:val="000000"/>
                <w:sz w:val="18"/>
                <w:szCs w:val="18"/>
                <w:u w:val="none"/>
                <w:lang w:val="en-US" w:eastAsia="zh-CN"/>
              </w:rPr>
            </w:pPr>
            <w:r>
              <w:rPr>
                <w:rFonts w:hint="eastAsia" w:ascii="仿宋_GB2312" w:hAnsi="仿宋" w:eastAsia="仿宋_GB2312" w:cs="仿宋"/>
                <w:color w:val="000000"/>
                <w:sz w:val="18"/>
                <w:szCs w:val="18"/>
                <w:u w:val="none"/>
                <w:lang w:val="en-US" w:eastAsia="zh-CN"/>
              </w:rPr>
              <w:t>边巴</w:t>
            </w:r>
          </w:p>
        </w:tc>
        <w:tc>
          <w:tcPr>
            <w:tcW w:w="1183" w:type="dxa"/>
            <w:vAlign w:val="center"/>
          </w:tcPr>
          <w:p>
            <w:pPr>
              <w:spacing w:line="240" w:lineRule="auto"/>
              <w:jc w:val="both"/>
              <w:rPr>
                <w:rFonts w:hint="eastAsia" w:ascii="仿宋_GB2312" w:hAnsi="仿宋" w:eastAsia="仿宋_GB2312" w:cs="仿宋"/>
                <w:color w:val="000000"/>
                <w:sz w:val="18"/>
                <w:szCs w:val="18"/>
                <w:u w:val="none"/>
                <w:lang w:val="en-US" w:eastAsia="zh-CN"/>
              </w:rPr>
            </w:pPr>
            <w:r>
              <w:rPr>
                <w:rFonts w:hint="eastAsia" w:ascii="仿宋_GB2312" w:hAnsi="仿宋" w:eastAsia="仿宋_GB2312" w:cs="仿宋"/>
                <w:color w:val="000000"/>
                <w:sz w:val="18"/>
                <w:szCs w:val="18"/>
                <w:u w:val="none"/>
                <w:lang w:val="en-US" w:eastAsia="zh-CN"/>
              </w:rPr>
              <w:t>（林市）应急罚〔2025〕10号</w:t>
            </w:r>
          </w:p>
          <w:p>
            <w:pPr>
              <w:spacing w:line="240" w:lineRule="auto"/>
              <w:jc w:val="both"/>
              <w:rPr>
                <w:rFonts w:hint="eastAsia" w:ascii="仿宋_GB2312" w:hAnsi="仿宋" w:eastAsia="仿宋_GB2312" w:cs="仿宋"/>
                <w:color w:val="000000"/>
                <w:sz w:val="18"/>
                <w:szCs w:val="18"/>
                <w:u w:val="none"/>
                <w:lang w:eastAsia="zh-CN"/>
              </w:rPr>
            </w:pPr>
          </w:p>
        </w:tc>
        <w:tc>
          <w:tcPr>
            <w:tcW w:w="2239" w:type="dxa"/>
          </w:tcPr>
          <w:p>
            <w:pPr>
              <w:spacing w:line="240" w:lineRule="auto"/>
              <w:jc w:val="both"/>
              <w:rPr>
                <w:rFonts w:hint="eastAsia" w:ascii="仿宋_GB2312" w:hAnsi="仿宋" w:eastAsia="仿宋_GB2312" w:cs="仿宋"/>
                <w:color w:val="000000"/>
                <w:sz w:val="18"/>
                <w:szCs w:val="18"/>
                <w:u w:val="none"/>
                <w:lang w:eastAsia="zh-CN"/>
              </w:rPr>
            </w:pPr>
            <w:r>
              <w:rPr>
                <w:rFonts w:hint="eastAsia" w:ascii="仿宋_GB2312" w:hAnsi="仿宋" w:eastAsia="仿宋_GB2312" w:cs="仿宋"/>
                <w:color w:val="000000"/>
                <w:sz w:val="18"/>
                <w:szCs w:val="18"/>
                <w:u w:val="none"/>
                <w:lang w:val="en-US" w:eastAsia="zh-CN"/>
              </w:rPr>
              <w:t>2025年11月14日，林芝市应急管理局对林芝市巴宜区金牛石油销售有限公司进行执法检查中发现：该加油站未采取有效管控措施，及时消除事故隐患。例如：站房的一楼宿舍、二楼宿舍、二楼休息区、男卫生间、微型消防站旁、排水沟等多处位置存在烟头及吸烟痕迹。</w:t>
            </w:r>
          </w:p>
        </w:tc>
        <w:tc>
          <w:tcPr>
            <w:tcW w:w="1445" w:type="dxa"/>
          </w:tcPr>
          <w:p>
            <w:pPr>
              <w:spacing w:line="240" w:lineRule="auto"/>
              <w:jc w:val="both"/>
              <w:rPr>
                <w:rFonts w:hint="eastAsia" w:ascii="仿宋_GB2312" w:hAnsi="仿宋" w:eastAsia="仿宋_GB2312" w:cs="仿宋"/>
                <w:color w:val="000000"/>
                <w:sz w:val="18"/>
                <w:szCs w:val="18"/>
                <w:u w:val="none"/>
                <w:lang w:eastAsia="zh-CN"/>
              </w:rPr>
            </w:pPr>
            <w:r>
              <w:rPr>
                <w:rFonts w:hint="eastAsia" w:ascii="仿宋_GB2312" w:hAnsi="仿宋" w:eastAsia="仿宋_GB2312" w:cs="仿宋"/>
                <w:color w:val="000000"/>
                <w:sz w:val="18"/>
                <w:szCs w:val="18"/>
                <w:u w:val="none"/>
                <w:lang w:val="en-US" w:eastAsia="zh-CN"/>
              </w:rPr>
              <w:t>该公司公司行为违反了《中华人民共和国安全生产法》第二章第四十一条第二款的规定，依据《中华人民共和国安全生产法》第六章第一百零二条的规定。</w:t>
            </w:r>
          </w:p>
        </w:tc>
        <w:tc>
          <w:tcPr>
            <w:tcW w:w="1043" w:type="dxa"/>
          </w:tcPr>
          <w:p>
            <w:pPr>
              <w:spacing w:line="240" w:lineRule="auto"/>
              <w:jc w:val="both"/>
              <w:rPr>
                <w:rFonts w:hint="eastAsia" w:ascii="仿宋_GB2312" w:hAnsi="仿宋" w:eastAsia="仿宋_GB2312" w:cs="仿宋"/>
                <w:color w:val="000000"/>
                <w:sz w:val="18"/>
                <w:szCs w:val="18"/>
                <w:u w:val="none"/>
                <w:lang w:eastAsia="zh-CN"/>
              </w:rPr>
            </w:pPr>
          </w:p>
          <w:p>
            <w:pPr>
              <w:spacing w:line="240" w:lineRule="auto"/>
              <w:jc w:val="both"/>
              <w:rPr>
                <w:rFonts w:hint="eastAsia" w:ascii="仿宋_GB2312" w:hAnsi="仿宋" w:eastAsia="仿宋_GB2312" w:cs="仿宋"/>
                <w:color w:val="000000"/>
                <w:sz w:val="18"/>
                <w:szCs w:val="18"/>
                <w:u w:val="none"/>
                <w:lang w:val="en-US" w:eastAsia="zh-CN"/>
              </w:rPr>
            </w:pPr>
            <w:r>
              <w:rPr>
                <w:rFonts w:hint="eastAsia" w:ascii="仿宋_GB2312" w:hAnsi="仿宋" w:eastAsia="仿宋_GB2312" w:cs="仿宋"/>
                <w:color w:val="000000"/>
                <w:sz w:val="18"/>
                <w:szCs w:val="18"/>
                <w:u w:val="none"/>
                <w:lang w:val="en-US" w:eastAsia="zh-CN"/>
              </w:rPr>
              <w:t xml:space="preserve">作出责令立即消除，处人民币11000元（壹万壹仟元整）罚款的行政处罚。       </w:t>
            </w:r>
          </w:p>
          <w:p>
            <w:pPr>
              <w:spacing w:line="240" w:lineRule="auto"/>
              <w:jc w:val="both"/>
              <w:rPr>
                <w:rFonts w:hint="eastAsia" w:ascii="仿宋_GB2312" w:hAnsi="仿宋" w:eastAsia="仿宋_GB2312" w:cs="仿宋"/>
                <w:color w:val="000000"/>
                <w:sz w:val="18"/>
                <w:szCs w:val="18"/>
                <w:u w:val="none"/>
                <w:lang w:eastAsia="zh-CN"/>
              </w:rPr>
            </w:pPr>
          </w:p>
        </w:tc>
        <w:tc>
          <w:tcPr>
            <w:tcW w:w="1655" w:type="dxa"/>
          </w:tcPr>
          <w:p>
            <w:pPr>
              <w:spacing w:line="240" w:lineRule="auto"/>
              <w:jc w:val="both"/>
              <w:rPr>
                <w:rFonts w:hint="eastAsia" w:ascii="仿宋_GB2312" w:hAnsi="仿宋" w:eastAsia="仿宋_GB2312" w:cs="仿宋"/>
                <w:color w:val="000000"/>
                <w:sz w:val="24"/>
                <w:szCs w:val="24"/>
                <w:u w:val="none"/>
                <w:lang w:val="en-US" w:eastAsia="zh-CN"/>
              </w:rPr>
            </w:pPr>
          </w:p>
          <w:p>
            <w:pPr>
              <w:spacing w:line="240" w:lineRule="auto"/>
              <w:jc w:val="both"/>
              <w:rPr>
                <w:rFonts w:hint="eastAsia" w:ascii="仿宋_GB2312" w:hAnsi="仿宋" w:eastAsia="仿宋_GB2312" w:cs="仿宋"/>
                <w:color w:val="000000"/>
                <w:sz w:val="24"/>
                <w:szCs w:val="24"/>
                <w:u w:val="none"/>
                <w:lang w:val="en-US" w:eastAsia="zh-CN"/>
              </w:rPr>
            </w:pPr>
          </w:p>
          <w:p>
            <w:pPr>
              <w:spacing w:line="240" w:lineRule="auto"/>
              <w:jc w:val="both"/>
              <w:rPr>
                <w:rFonts w:hint="eastAsia" w:ascii="仿宋_GB2312" w:hAnsi="仿宋" w:eastAsia="仿宋_GB2312" w:cs="仿宋"/>
                <w:color w:val="000000"/>
                <w:sz w:val="24"/>
                <w:szCs w:val="24"/>
                <w:u w:val="none"/>
                <w:lang w:val="en-US" w:eastAsia="zh-CN"/>
              </w:rPr>
            </w:pPr>
          </w:p>
          <w:p>
            <w:pPr>
              <w:spacing w:line="240" w:lineRule="auto"/>
              <w:jc w:val="both"/>
              <w:rPr>
                <w:rFonts w:hint="eastAsia" w:ascii="仿宋_GB2312" w:hAnsi="仿宋" w:eastAsia="仿宋_GB2312" w:cs="仿宋"/>
                <w:color w:val="000000"/>
                <w:sz w:val="24"/>
                <w:szCs w:val="24"/>
                <w:u w:val="none"/>
                <w:lang w:val="en-US" w:eastAsia="zh-CN"/>
              </w:rPr>
            </w:pPr>
            <w:r>
              <w:rPr>
                <w:rFonts w:hint="eastAsia" w:ascii="仿宋_GB2312" w:hAnsi="仿宋" w:eastAsia="仿宋_GB2312" w:cs="仿宋"/>
                <w:color w:val="000000"/>
                <w:sz w:val="24"/>
                <w:szCs w:val="24"/>
                <w:u w:val="none"/>
                <w:lang w:val="en-US" w:eastAsia="zh-CN"/>
              </w:rPr>
              <w:t>2025年</w:t>
            </w:r>
          </w:p>
          <w:p>
            <w:pPr>
              <w:spacing w:line="240" w:lineRule="auto"/>
              <w:jc w:val="both"/>
              <w:rPr>
                <w:rFonts w:hint="eastAsia" w:ascii="仿宋_GB2312" w:hAnsi="仿宋" w:eastAsia="仿宋_GB2312" w:cs="仿宋"/>
                <w:color w:val="000000"/>
                <w:sz w:val="24"/>
                <w:szCs w:val="24"/>
                <w:u w:val="none"/>
                <w:lang w:val="en-US" w:eastAsia="zh-CN"/>
              </w:rPr>
            </w:pPr>
            <w:r>
              <w:rPr>
                <w:rFonts w:hint="eastAsia" w:ascii="仿宋_GB2312" w:hAnsi="仿宋" w:eastAsia="仿宋_GB2312" w:cs="仿宋"/>
                <w:color w:val="000000"/>
                <w:sz w:val="24"/>
                <w:szCs w:val="24"/>
                <w:u w:val="none"/>
                <w:lang w:val="en-US" w:eastAsia="zh-CN"/>
              </w:rPr>
              <w:t>12月1日</w:t>
            </w:r>
          </w:p>
        </w:tc>
        <w:tc>
          <w:tcPr>
            <w:tcW w:w="1316" w:type="dxa"/>
          </w:tcPr>
          <w:p>
            <w:pPr>
              <w:spacing w:line="240" w:lineRule="auto"/>
              <w:jc w:val="both"/>
              <w:rPr>
                <w:rFonts w:hint="eastAsia" w:ascii="仿宋_GB2312" w:hAnsi="仿宋" w:eastAsia="仿宋_GB2312" w:cs="仿宋"/>
                <w:color w:val="000000"/>
                <w:sz w:val="24"/>
                <w:szCs w:val="24"/>
                <w:u w:val="none"/>
                <w:lang w:val="en-US" w:eastAsia="zh-CN"/>
              </w:rPr>
            </w:pPr>
          </w:p>
          <w:p>
            <w:pPr>
              <w:spacing w:line="240" w:lineRule="auto"/>
              <w:jc w:val="both"/>
              <w:rPr>
                <w:rFonts w:hint="eastAsia" w:ascii="仿宋_GB2312" w:hAnsi="仿宋" w:eastAsia="仿宋_GB2312" w:cs="仿宋"/>
                <w:color w:val="000000"/>
                <w:sz w:val="24"/>
                <w:szCs w:val="24"/>
                <w:u w:val="none"/>
                <w:lang w:val="en-US" w:eastAsia="zh-CN"/>
              </w:rPr>
            </w:pPr>
          </w:p>
          <w:p>
            <w:pPr>
              <w:spacing w:line="240" w:lineRule="auto"/>
              <w:jc w:val="both"/>
              <w:rPr>
                <w:rFonts w:hint="eastAsia" w:ascii="仿宋_GB2312" w:hAnsi="仿宋" w:eastAsia="仿宋_GB2312" w:cs="仿宋"/>
                <w:color w:val="000000"/>
                <w:sz w:val="24"/>
                <w:szCs w:val="24"/>
                <w:u w:val="none"/>
                <w:lang w:val="en-US" w:eastAsia="zh-CN"/>
              </w:rPr>
            </w:pPr>
            <w:r>
              <w:rPr>
                <w:rFonts w:hint="eastAsia" w:ascii="仿宋_GB2312" w:hAnsi="仿宋" w:eastAsia="仿宋_GB2312" w:cs="仿宋"/>
                <w:color w:val="000000"/>
                <w:sz w:val="24"/>
                <w:szCs w:val="24"/>
                <w:u w:val="none"/>
                <w:lang w:val="en-US" w:eastAsia="zh-CN"/>
              </w:rPr>
              <w:t>林芝</w:t>
            </w:r>
          </w:p>
          <w:p>
            <w:pPr>
              <w:spacing w:line="240" w:lineRule="auto"/>
              <w:jc w:val="both"/>
              <w:rPr>
                <w:rFonts w:hint="eastAsia" w:ascii="仿宋_GB2312" w:hAnsi="仿宋" w:eastAsia="仿宋_GB2312" w:cs="仿宋"/>
                <w:color w:val="000000"/>
                <w:sz w:val="24"/>
                <w:szCs w:val="24"/>
                <w:u w:val="none"/>
                <w:lang w:val="en-US" w:eastAsia="zh-CN"/>
              </w:rPr>
            </w:pPr>
            <w:r>
              <w:rPr>
                <w:rFonts w:hint="eastAsia" w:ascii="仿宋_GB2312" w:hAnsi="仿宋" w:eastAsia="仿宋_GB2312" w:cs="仿宋"/>
                <w:color w:val="000000"/>
                <w:sz w:val="24"/>
                <w:szCs w:val="24"/>
                <w:u w:val="none"/>
                <w:lang w:val="en-US" w:eastAsia="zh-CN"/>
              </w:rPr>
              <w:t>市应</w:t>
            </w:r>
          </w:p>
          <w:p>
            <w:pPr>
              <w:spacing w:line="240" w:lineRule="auto"/>
              <w:jc w:val="both"/>
              <w:rPr>
                <w:rFonts w:hint="eastAsia" w:ascii="仿宋_GB2312" w:hAnsi="仿宋" w:eastAsia="仿宋_GB2312" w:cs="仿宋"/>
                <w:color w:val="000000"/>
                <w:sz w:val="24"/>
                <w:szCs w:val="24"/>
                <w:u w:val="none"/>
                <w:lang w:val="en-US" w:eastAsia="zh-CN"/>
              </w:rPr>
            </w:pPr>
            <w:r>
              <w:rPr>
                <w:rFonts w:hint="eastAsia" w:ascii="仿宋_GB2312" w:hAnsi="仿宋" w:eastAsia="仿宋_GB2312" w:cs="仿宋"/>
                <w:color w:val="000000"/>
                <w:sz w:val="24"/>
                <w:szCs w:val="24"/>
                <w:u w:val="none"/>
                <w:lang w:val="en-US" w:eastAsia="zh-CN"/>
              </w:rPr>
              <w:t>急管</w:t>
            </w:r>
          </w:p>
          <w:p>
            <w:pPr>
              <w:spacing w:line="240" w:lineRule="auto"/>
              <w:jc w:val="both"/>
              <w:rPr>
                <w:rFonts w:hint="default" w:ascii="仿宋_GB2312" w:hAnsi="仿宋" w:eastAsia="仿宋_GB2312" w:cs="仿宋"/>
                <w:color w:val="000000"/>
                <w:sz w:val="24"/>
                <w:szCs w:val="24"/>
                <w:u w:val="none"/>
                <w:lang w:val="en-US" w:eastAsia="zh-CN"/>
              </w:rPr>
            </w:pPr>
            <w:r>
              <w:rPr>
                <w:rFonts w:hint="eastAsia" w:ascii="仿宋_GB2312" w:hAnsi="仿宋" w:eastAsia="仿宋_GB2312" w:cs="仿宋"/>
                <w:color w:val="000000"/>
                <w:sz w:val="24"/>
                <w:szCs w:val="24"/>
                <w:u w:val="none"/>
                <w:lang w:val="en-US" w:eastAsia="zh-CN"/>
              </w:rPr>
              <w:t>理局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72933"/>
    <w:rsid w:val="09EE7772"/>
    <w:rsid w:val="0E72571D"/>
    <w:rsid w:val="139F77B7"/>
    <w:rsid w:val="25F50F06"/>
    <w:rsid w:val="260138D9"/>
    <w:rsid w:val="2BCA3346"/>
    <w:rsid w:val="34832659"/>
    <w:rsid w:val="363F3435"/>
    <w:rsid w:val="3ADFF14D"/>
    <w:rsid w:val="3E5E1F31"/>
    <w:rsid w:val="3FFFBBB7"/>
    <w:rsid w:val="438F40A0"/>
    <w:rsid w:val="455822D0"/>
    <w:rsid w:val="46407FFA"/>
    <w:rsid w:val="48A14C9D"/>
    <w:rsid w:val="4AB12FBE"/>
    <w:rsid w:val="4CFB09F8"/>
    <w:rsid w:val="61CF2BD3"/>
    <w:rsid w:val="672C16B9"/>
    <w:rsid w:val="6FA10B33"/>
    <w:rsid w:val="744118C8"/>
    <w:rsid w:val="777AE075"/>
    <w:rsid w:val="7BFF162F"/>
    <w:rsid w:val="7DFB7D5E"/>
    <w:rsid w:val="7FBFDFD0"/>
    <w:rsid w:val="9DFBD8CD"/>
    <w:rsid w:val="BD979E09"/>
    <w:rsid w:val="BFFF21C9"/>
    <w:rsid w:val="DFE50C09"/>
    <w:rsid w:val="FF6F5C58"/>
    <w:rsid w:val="FFFD6473"/>
    <w:rsid w:val="FFFFD301"/>
    <w:rsid w:val="FFFFD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1"/>
    <w:pPr>
      <w:ind w:firstLine="420" w:firstLineChars="200"/>
    </w:pPr>
    <w:rPr>
      <w:rFonts w:eastAsia="仿宋"/>
      <w:sz w:val="32"/>
    </w:rPr>
  </w:style>
  <w:style w:type="paragraph" w:styleId="5">
    <w:name w:val="Body Text"/>
    <w:basedOn w:val="1"/>
    <w:qFormat/>
    <w:uiPriority w:val="0"/>
    <w:pPr>
      <w:spacing w:after="120" w:afterLines="0" w:afterAutospacing="0"/>
    </w:pPr>
  </w:style>
  <w:style w:type="paragraph" w:styleId="6">
    <w:name w:val="Body Text First Indent"/>
    <w:basedOn w:val="5"/>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2179</Words>
  <Characters>2259</Characters>
  <Lines>0</Lines>
  <Paragraphs>0</Paragraphs>
  <TotalTime>2</TotalTime>
  <ScaleCrop>false</ScaleCrop>
  <LinksUpToDate>false</LinksUpToDate>
  <CharactersWithSpaces>2266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2021-11-27T08:46:00Z</dcterms:created>
  <dc:creator>123</dc:creator>
  <cp:lastModifiedBy>user</cp:lastModifiedBy>
  <cp:lastPrinted>2025-12-04T00:39:00Z</cp:lastPrinted>
  <dcterms:modified xsi:type="dcterms:W3CDTF">2025-12-04T17:13:58Z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E3CD0063C64A4BDCBC7C12762FD6634E</vt:lpwstr>
  </property>
  <property fmtid="{D5CDD505-2E9C-101B-9397-08002B2CF9AE}" pid="4" name="KSOTemplateDocerSaveRecord">
    <vt:lpwstr>eyJoZGlkIjoiNGQ1NGNkZmMwZDNmZWFmNjBjOWFiNjMyODUxODcwYjEifQ==</vt:lpwstr>
  </property>
</Properties>
</file>