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林芝市应急管理局二十大期间安全生产第二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督导组在对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波密县中冶交通S303NK-2标段项目部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施工地现场进行安全检查时发现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项目部施工地储存、使用柴油罐裸露在</w:t>
      </w:r>
      <w:bookmarkStart w:id="0" w:name="_GoBack"/>
      <w:bookmarkEnd w:id="0"/>
      <w:r>
        <w:rPr>
          <w:rFonts w:hint="eastAsia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外，没有相关管理制度，不符合国家标准或有关规定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存在安全隐患。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该公司违反了《中华人民共和国安全生产法》第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三十六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条的规定，依据《中华人民共和国安全生产法》第一百零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第一款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的规定，对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该公司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作出责令限期改正，处人民币49000元（肆万玖仟元整）罚款的行政处罚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行政处罚公开信息表</w:t>
      </w:r>
    </w:p>
    <w:tbl>
      <w:tblPr>
        <w:tblStyle w:val="3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12"/>
        <w:gridCol w:w="1896"/>
        <w:gridCol w:w="1062"/>
        <w:gridCol w:w="1186"/>
        <w:gridCol w:w="2291"/>
        <w:gridCol w:w="1472"/>
        <w:gridCol w:w="1058"/>
        <w:gridCol w:w="1678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17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单位（个人）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9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表  人</w:t>
            </w:r>
          </w:p>
        </w:tc>
        <w:tc>
          <w:tcPr>
            <w:tcW w:w="1193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处罚决定书</w:t>
            </w:r>
          </w:p>
        </w:tc>
        <w:tc>
          <w:tcPr>
            <w:tcW w:w="235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0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73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处罚时间</w:t>
            </w:r>
          </w:p>
        </w:tc>
        <w:tc>
          <w:tcPr>
            <w:tcW w:w="1378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中冶交通S303NK-2标段项目部</w:t>
            </w:r>
            <w:r>
              <w:rPr>
                <w:rFonts w:hint="eastAsia"/>
                <w:vertAlign w:val="baseline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</w:rPr>
              <w:t>·</w:t>
            </w: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vertAlign w:val="baseline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储存、使用危险物品未建立安全管理制度、未采取可靠安全措施</w:t>
            </w:r>
            <w:r>
              <w:rPr>
                <w:rFonts w:hint="eastAsia"/>
                <w:vertAlign w:val="baseline"/>
              </w:rPr>
              <w:t>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中冶交通S303K-2标段项目部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911100007839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50087W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彭继前</w:t>
            </w:r>
          </w:p>
        </w:tc>
        <w:tc>
          <w:tcPr>
            <w:tcW w:w="119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）应急罚〔202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中冶交通S303NK-2标段项目部施工地储存、使用柴油罐裸露在外，没有相关管理制度，不符合国家标准或有关规定。</w:t>
            </w:r>
          </w:p>
        </w:tc>
        <w:tc>
          <w:tcPr>
            <w:tcW w:w="151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该公司违反了《中华人民共和国安全生产法》第</w:t>
            </w:r>
            <w:r>
              <w:rPr>
                <w:rFonts w:hint="eastAsia"/>
                <w:vertAlign w:val="baseline"/>
                <w:lang w:val="en-US" w:eastAsia="zh-CN"/>
              </w:rPr>
              <w:t>三十六</w:t>
            </w:r>
            <w:r>
              <w:rPr>
                <w:rFonts w:hint="eastAsia"/>
                <w:vertAlign w:val="baseline"/>
              </w:rPr>
              <w:t>条，依据《中华人民共和国安全生产法》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第一百零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第一款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责令限期改正，处人民币49000元（肆万玖仟元整）罚款</w:t>
            </w:r>
          </w:p>
        </w:tc>
        <w:tc>
          <w:tcPr>
            <w:tcW w:w="1731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年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林芝市应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急管理局、波密县应急管理局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TllZjE1YmFhNTk0ZjZlYmM2NTY3NzdkYWQwMzcifQ=="/>
  </w:docVars>
  <w:rsids>
    <w:rsidRoot w:val="00000000"/>
    <w:rsid w:val="04D466EB"/>
    <w:rsid w:val="09972933"/>
    <w:rsid w:val="09EE7772"/>
    <w:rsid w:val="0E72571D"/>
    <w:rsid w:val="260138D9"/>
    <w:rsid w:val="284C6DDA"/>
    <w:rsid w:val="287924B0"/>
    <w:rsid w:val="2BCA3346"/>
    <w:rsid w:val="34832659"/>
    <w:rsid w:val="34D003B1"/>
    <w:rsid w:val="363F3435"/>
    <w:rsid w:val="438F40A0"/>
    <w:rsid w:val="455822D0"/>
    <w:rsid w:val="46407FFA"/>
    <w:rsid w:val="4AB12FBE"/>
    <w:rsid w:val="4CFB09F8"/>
    <w:rsid w:val="51F37FF1"/>
    <w:rsid w:val="5DAE407C"/>
    <w:rsid w:val="5FB045E6"/>
    <w:rsid w:val="672C16B9"/>
    <w:rsid w:val="6FA10B33"/>
    <w:rsid w:val="7441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620</Characters>
  <Lines>0</Lines>
  <Paragraphs>0</Paragraphs>
  <TotalTime>1</TotalTime>
  <ScaleCrop>false</ScaleCrop>
  <LinksUpToDate>false</LinksUpToDate>
  <CharactersWithSpaces>622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2021-11-25T08:46:00Z</dcterms:created>
  <dc:creator>123</dc:creator>
  <cp:lastModifiedBy>洛桑多吉</cp:lastModifiedBy>
  <cp:lastPrinted>2022-04-06T03:26:00Z</cp:lastPrinted>
  <dcterms:modified xsi:type="dcterms:W3CDTF">2022-12-06T07:33:26Z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A001422C2D5B477B9AD37F4121D5563F</vt:lpwstr>
  </property>
</Properties>
</file>