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420" w:firstLineChars="200"/>
        <w:jc w:val="left"/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林芝市应急管理局二十大期间安全生产第二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督导组在对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波密县湖南金沙路桥S303线康多段项目部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施工地现场进行安全检查时发现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/>
          <w:vertAlign w:val="baseline"/>
          <w:lang w:val="en-US" w:eastAsia="zh-CN"/>
        </w:rPr>
        <w:t>施工地综合应急预案未经过专业评审；2.2022年度未开</w:t>
      </w:r>
      <w:bookmarkStart w:id="0" w:name="_GoBack"/>
      <w:bookmarkEnd w:id="0"/>
      <w:r>
        <w:rPr>
          <w:rFonts w:hint="eastAsia"/>
          <w:vertAlign w:val="baseline"/>
          <w:lang w:val="en-US" w:eastAsia="zh-CN"/>
        </w:rPr>
        <w:t>展任何应急演练活动；3.未按照2022年度安全生产培训计划开展教育培训。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该公司违反了《中华人民共和国安全生产法》第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二十八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条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八十一条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的规定，依据《中华人民共和国安全生产法》第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九十七条第三款、第六款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的规定，对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该公司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作出责令限期改正，处人民币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000元</w:t>
      </w:r>
      <w:r>
        <w:rPr>
          <w:rFonts w:hint="eastAsia"/>
          <w:vertAlign w:val="baseline"/>
        </w:rPr>
        <w:t>（</w:t>
      </w:r>
      <w:r>
        <w:rPr>
          <w:rFonts w:hint="eastAsia"/>
          <w:vertAlign w:val="baseline"/>
          <w:lang w:val="en-US" w:eastAsia="zh-CN"/>
        </w:rPr>
        <w:t>叁</w:t>
      </w:r>
      <w:r>
        <w:rPr>
          <w:rFonts w:hint="eastAsia"/>
          <w:vertAlign w:val="baseline"/>
        </w:rPr>
        <w:t>万</w:t>
      </w:r>
      <w:r>
        <w:rPr>
          <w:rFonts w:hint="eastAsia"/>
          <w:vertAlign w:val="baseline"/>
          <w:lang w:val="en-US" w:eastAsia="zh-CN"/>
        </w:rPr>
        <w:t>壹仟</w:t>
      </w:r>
      <w:r>
        <w:rPr>
          <w:rFonts w:hint="eastAsia"/>
          <w:vertAlign w:val="baseline"/>
        </w:rPr>
        <w:t>元整）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罚款的行政处罚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行政处罚公开信息表</w:t>
      </w:r>
    </w:p>
    <w:tbl>
      <w:tblPr>
        <w:tblStyle w:val="3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48"/>
        <w:gridCol w:w="1756"/>
        <w:gridCol w:w="1086"/>
        <w:gridCol w:w="1192"/>
        <w:gridCol w:w="2341"/>
        <w:gridCol w:w="1507"/>
        <w:gridCol w:w="1071"/>
        <w:gridCol w:w="172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17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单位（个人）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9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表  人</w:t>
            </w:r>
          </w:p>
        </w:tc>
        <w:tc>
          <w:tcPr>
            <w:tcW w:w="1193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处罚决定书</w:t>
            </w:r>
          </w:p>
        </w:tc>
        <w:tc>
          <w:tcPr>
            <w:tcW w:w="235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0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73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处罚时间</w:t>
            </w:r>
          </w:p>
        </w:tc>
        <w:tc>
          <w:tcPr>
            <w:tcW w:w="1378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417" w:type="dxa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湖南金沙路桥S303线康多段项目部</w:t>
            </w:r>
            <w:r>
              <w:rPr>
                <w:rFonts w:hint="eastAsia"/>
                <w:vertAlign w:val="baseline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</w:rPr>
              <w:t>·</w:t>
            </w: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vertAlign w:val="baseline"/>
              </w:rPr>
              <w:t>”</w:t>
            </w:r>
            <w:r>
              <w:rPr>
                <w:rFonts w:hint="eastAsia"/>
                <w:vertAlign w:val="baseline"/>
                <w:lang w:val="en-US" w:eastAsia="zh-CN"/>
              </w:rPr>
              <w:t>未按照年度安全生产培训计划开展教育培训、未按照规定进行应急预案评审和开展应急演练</w:t>
            </w:r>
            <w:r>
              <w:rPr>
                <w:rFonts w:hint="eastAsia"/>
                <w:vertAlign w:val="baseline"/>
              </w:rPr>
              <w:t>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湖南金沙路桥S303线康多段项目部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91430121717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044350C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龙涛</w:t>
            </w:r>
          </w:p>
        </w:tc>
        <w:tc>
          <w:tcPr>
            <w:tcW w:w="119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）应急罚〔202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1.施工地综合应急预案未经过专业评审；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2.2022年度未开展任何应急演练活动；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3.未按照2022年度安全生产培训计划开展教育培训。</w:t>
            </w:r>
          </w:p>
        </w:tc>
        <w:tc>
          <w:tcPr>
            <w:tcW w:w="1515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该公司违反了《中华人民共和国安全生产法》第</w:t>
            </w:r>
            <w:r>
              <w:rPr>
                <w:rFonts w:hint="eastAsia"/>
                <w:vertAlign w:val="baseline"/>
                <w:lang w:val="en-US" w:eastAsia="zh-CN"/>
              </w:rPr>
              <w:t>二十八条、八十一</w:t>
            </w:r>
            <w:r>
              <w:rPr>
                <w:rFonts w:hint="eastAsia"/>
                <w:vertAlign w:val="baseline"/>
              </w:rPr>
              <w:t>条，依据《中华人民共和国安全生产法》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九十七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第三款、第六款</w:t>
            </w:r>
          </w:p>
        </w:tc>
        <w:tc>
          <w:tcPr>
            <w:tcW w:w="1074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责令限期改正，处人民币</w:t>
            </w:r>
            <w:r>
              <w:rPr>
                <w:rFonts w:hint="eastAsia"/>
                <w:vertAlign w:val="baseline"/>
                <w:lang w:val="en-US" w:eastAsia="zh-CN"/>
              </w:rPr>
              <w:t>31000</w:t>
            </w:r>
            <w:r>
              <w:rPr>
                <w:rFonts w:hint="eastAsia"/>
                <w:vertAlign w:val="baseline"/>
              </w:rPr>
              <w:t>元（</w:t>
            </w:r>
            <w:r>
              <w:rPr>
                <w:rFonts w:hint="eastAsia"/>
                <w:vertAlign w:val="baseline"/>
                <w:lang w:val="en-US" w:eastAsia="zh-CN"/>
              </w:rPr>
              <w:t>叁</w:t>
            </w:r>
            <w:r>
              <w:rPr>
                <w:rFonts w:hint="eastAsia"/>
                <w:vertAlign w:val="baseline"/>
              </w:rPr>
              <w:t>万</w:t>
            </w:r>
            <w:r>
              <w:rPr>
                <w:rFonts w:hint="eastAsia"/>
                <w:vertAlign w:val="baseline"/>
                <w:lang w:val="en-US" w:eastAsia="zh-CN"/>
              </w:rPr>
              <w:t>壹仟</w:t>
            </w:r>
            <w:r>
              <w:rPr>
                <w:rFonts w:hint="eastAsia"/>
                <w:vertAlign w:val="baseline"/>
              </w:rPr>
              <w:t>元整）罚款</w:t>
            </w:r>
          </w:p>
        </w:tc>
        <w:tc>
          <w:tcPr>
            <w:tcW w:w="1731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202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年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vertAlign w:val="baseline"/>
              </w:rPr>
              <w:t>日</w:t>
            </w:r>
          </w:p>
        </w:tc>
        <w:tc>
          <w:tcPr>
            <w:tcW w:w="13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林芝市应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急管理局、波密县应急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TllZjE1YmFhNTk0ZjZlYmM2NTY3NzdkYWQwMzcifQ=="/>
  </w:docVars>
  <w:rsids>
    <w:rsidRoot w:val="00000000"/>
    <w:rsid w:val="04D466EB"/>
    <w:rsid w:val="09972933"/>
    <w:rsid w:val="09EE7772"/>
    <w:rsid w:val="0E72571D"/>
    <w:rsid w:val="1031702F"/>
    <w:rsid w:val="260138D9"/>
    <w:rsid w:val="284C6DDA"/>
    <w:rsid w:val="2BCA3346"/>
    <w:rsid w:val="34832659"/>
    <w:rsid w:val="34D003B1"/>
    <w:rsid w:val="3547286E"/>
    <w:rsid w:val="363F3435"/>
    <w:rsid w:val="3C6D6576"/>
    <w:rsid w:val="438F40A0"/>
    <w:rsid w:val="455822D0"/>
    <w:rsid w:val="46407FFA"/>
    <w:rsid w:val="4AB12FBE"/>
    <w:rsid w:val="4CFB09F8"/>
    <w:rsid w:val="593E5EF4"/>
    <w:rsid w:val="5FB045E6"/>
    <w:rsid w:val="672C16B9"/>
    <w:rsid w:val="6FA10B33"/>
    <w:rsid w:val="744118C8"/>
    <w:rsid w:val="7CD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576</Characters>
  <Lines>0</Lines>
  <Paragraphs>0</Paragraphs>
  <TotalTime>6</TotalTime>
  <ScaleCrop>false</ScaleCrop>
  <LinksUpToDate>false</LinksUpToDate>
  <CharactersWithSpaces>578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2021-11-25T08:46:00Z</dcterms:created>
  <dc:creator>123</dc:creator>
  <cp:lastModifiedBy>洛桑多吉</cp:lastModifiedBy>
  <cp:lastPrinted>2022-04-06T03:26:00Z</cp:lastPrinted>
  <dcterms:modified xsi:type="dcterms:W3CDTF">2022-12-06T08:37:24Z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C356DCC19E554C03B02098E7E22A3006</vt:lpwstr>
  </property>
</Properties>
</file>