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</w:rPr>
        <w:t>林芝市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  <w:lang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</w:rPr>
        <w:t>关于公开遴选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  <w:lang w:eastAsia="zh-CN"/>
        </w:rPr>
        <w:t>重特大事故源头管控工作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</w:rPr>
        <w:t>招标代理机构的公告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各招标代理公司：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为保质保量做好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重特大事故源头管控工作，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项目公开遴选招标代理机构，欢迎有资质的招标代理机构报名参加，有关事项公告如下：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一、遴选内容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拟遴选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家招标代理机构，在服务期限内，接受招标人委托，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对重特大事故源头管控工作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实施提供全过程招标代理服务，具体以招标人实际委托为准。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二、资格条件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本次遴选的招标代理机构应满足以下条件：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（一）提供良好的财务状况声明；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（二）提供依法缴纳税收和社会保障金的声明；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（三）未被列入“信用中国”网址（www.creditchina.gov.cn）“失信被执行人”“重大税收违法案件当事人”名单和中国政府采购网（www.ccgp.gov.cn）“政府采购严重违法失信行为记录”名单（需提供查询记录）；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（四）在林芝市财政局备案的政府采购代理机构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三、递交资料要求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（一）机构营业执照复印件；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（二）机构简介；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（三）法定代表人身份证复印件；非法定代表人本人提交报名材料的，须提供授权委托书原件及委托代理人身份证复印件；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（四）资格条件中所要求的各项声明材料；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（五）业绩证明（为区直、市直单位提供政府采购、招标代理服务情况）；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（六）代理机构认为应该提供的其他材料。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以上所有报名资料均须加盖报名机构公章及法定代表人签名，且合并封装，一式一份。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四、报名时间和地点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（一）报名时间：202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日18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（二）报名地点：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林芝市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安全生产基础科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报名资料必须由专人提交，不接受邮件、电子邮件及其他一切传真报名资料。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五、遴选方式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（一）对资格条件审查通过的招标代理机构进行综合评价，经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林芝市应急管理局采购领导小组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讨论，择优推荐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家招标代理机构。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（二）评审推荐结果提交局长办公会审定，待局长办公会集体通过后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，再提交局党委会审定通过以后与</w:t>
      </w:r>
      <w:r>
        <w:rPr>
          <w:rFonts w:hint="eastAsia" w:ascii="仿宋_GB2312" w:hAnsi="仿宋_GB2312" w:eastAsia="仿宋_GB2312" w:cs="仿宋_GB2312"/>
          <w:sz w:val="32"/>
          <w:szCs w:val="32"/>
        </w:rPr>
        <w:t>择优选取的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家代理机构签订招标代理协议；评审推荐结果如未通过局长办公会的集体决议，将重新遴选。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禹洁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  联系电话：0894-58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left:183.15pt;margin-top:-16.45pt;height:36.75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jNGY1MDdjZWExN2E3ZTMyMWYxMTZhNWMxNzAyYTgifQ=="/>
  </w:docVars>
  <w:rsids>
    <w:rsidRoot w:val="00F331EC"/>
    <w:rsid w:val="00F25CBC"/>
    <w:rsid w:val="00F331EC"/>
    <w:rsid w:val="0C9E5869"/>
    <w:rsid w:val="0FCDA65C"/>
    <w:rsid w:val="177924C1"/>
    <w:rsid w:val="2D3E9CFD"/>
    <w:rsid w:val="2F352CAB"/>
    <w:rsid w:val="37F224E0"/>
    <w:rsid w:val="6DFF8FB1"/>
    <w:rsid w:val="6FF454C5"/>
    <w:rsid w:val="7E49A067"/>
    <w:rsid w:val="BB7E3FD5"/>
    <w:rsid w:val="D797D93F"/>
    <w:rsid w:val="DA5364D8"/>
    <w:rsid w:val="DFB575DB"/>
    <w:rsid w:val="FE954B79"/>
    <w:rsid w:val="FFD779DC"/>
    <w:rsid w:val="FFFE6CCC"/>
    <w:rsid w:val="FF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827</Characters>
  <Lines>6</Lines>
  <Paragraphs>1</Paragraphs>
  <TotalTime>17</TotalTime>
  <ScaleCrop>false</ScaleCrop>
  <LinksUpToDate>false</LinksUpToDate>
  <CharactersWithSpaces>971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2023-09-20T08:00:00Z</dcterms:created>
  <dc:creator>Lenovo</dc:creator>
  <cp:lastModifiedBy>user</cp:lastModifiedBy>
  <cp:lastPrinted>2026-01-26T17:21:32Z</cp:lastPrinted>
  <dcterms:modified xsi:type="dcterms:W3CDTF">2026-01-26T17:23:31Z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7AF97E9B7377475C9AA0D2A792386D55_12</vt:lpwstr>
  </property>
</Properties>
</file>